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方正小标宋_GBK" w:cs="Times New Roman"/>
          <w:kern w:val="44"/>
          <w:sz w:val="36"/>
          <w:szCs w:val="44"/>
        </w:rPr>
      </w:pPr>
      <w:r>
        <w:rPr>
          <w:rFonts w:eastAsia="方正小标宋_GBK" w:cs="Times New Roman"/>
          <w:kern w:val="44"/>
          <w:sz w:val="36"/>
          <w:szCs w:val="44"/>
        </w:rPr>
        <w:t>鄂尔多斯市智能网联汽车</w:t>
      </w:r>
      <w:r>
        <w:rPr>
          <w:rFonts w:hint="eastAsia" w:eastAsia="方正小标宋_GBK" w:cs="Times New Roman"/>
          <w:kern w:val="44"/>
          <w:sz w:val="36"/>
          <w:szCs w:val="44"/>
        </w:rPr>
        <w:t>商业化试点</w:t>
      </w:r>
      <w:r>
        <w:rPr>
          <w:rFonts w:eastAsia="方正小标宋_GBK" w:cs="Times New Roman"/>
          <w:kern w:val="44"/>
          <w:sz w:val="36"/>
          <w:szCs w:val="44"/>
        </w:rPr>
        <w:t>实施细则</w:t>
      </w:r>
    </w:p>
    <w:p>
      <w:pPr>
        <w:pStyle w:val="3"/>
        <w:rPr>
          <w:rFonts w:hint="eastAsia" w:eastAsia="方正小标宋_GBK" w:cs="Times New Roman"/>
          <w:kern w:val="44"/>
          <w:sz w:val="36"/>
          <w:szCs w:val="44"/>
          <w:lang w:eastAsia="zh-CN"/>
        </w:rPr>
      </w:pPr>
      <w:r>
        <w:rPr>
          <w:rFonts w:hint="eastAsia" w:eastAsia="方正小标宋_GBK" w:cs="Times New Roman"/>
          <w:kern w:val="44"/>
          <w:sz w:val="36"/>
          <w:szCs w:val="44"/>
          <w:lang w:eastAsia="zh-CN"/>
        </w:rPr>
        <w:t>（征求意见稿）</w:t>
      </w:r>
    </w:p>
    <w:p/>
    <w:p>
      <w:pPr>
        <w:pStyle w:val="3"/>
        <w:rPr>
          <w:rFonts w:cs="Times New Roman"/>
        </w:rPr>
      </w:pPr>
      <w:r>
        <w:rPr>
          <w:rFonts w:cs="Times New Roman"/>
        </w:rPr>
        <w:t>第一章 总则</w:t>
      </w:r>
    </w:p>
    <w:p>
      <w:pPr>
        <w:widowControl/>
        <w:spacing w:line="240" w:lineRule="auto"/>
        <w:ind w:firstLine="643"/>
        <w:rPr>
          <w:rFonts w:cs="Times New Roman"/>
          <w:color w:val="000000"/>
          <w:kern w:val="0"/>
          <w:szCs w:val="32"/>
          <w14:ligatures w14:val="none"/>
        </w:rPr>
      </w:pPr>
      <w:r>
        <w:rPr>
          <w:rFonts w:cs="Times New Roman"/>
          <w:b/>
          <w:bCs/>
          <w:color w:val="000000"/>
          <w:kern w:val="0"/>
          <w:szCs w:val="32"/>
          <w14:ligatures w14:val="none"/>
        </w:rPr>
        <w:t>第一条</w:t>
      </w:r>
      <w:r>
        <w:rPr>
          <w:rFonts w:cs="Times New Roman"/>
          <w:color w:val="000000"/>
          <w:kern w:val="0"/>
          <w:szCs w:val="32"/>
          <w14:ligatures w14:val="none"/>
        </w:rPr>
        <w:t xml:space="preserve"> 为贯彻落实《鄂尔多斯市智</w:t>
      </w:r>
      <w:bookmarkStart w:id="1" w:name="_GoBack"/>
      <w:bookmarkEnd w:id="1"/>
      <w:r>
        <w:rPr>
          <w:rFonts w:cs="Times New Roman"/>
          <w:color w:val="000000"/>
          <w:kern w:val="0"/>
          <w:szCs w:val="32"/>
          <w14:ligatures w14:val="none"/>
        </w:rPr>
        <w:t>能网联汽车测试与示范应用管理办法（试行）》，规范</w:t>
      </w:r>
      <w:r>
        <w:rPr>
          <w:rFonts w:hint="eastAsia" w:cs="Times New Roman"/>
          <w:color w:val="000000"/>
          <w:kern w:val="0"/>
          <w:szCs w:val="32"/>
          <w:lang w:eastAsia="zh-CN"/>
          <w14:ligatures w14:val="none"/>
        </w:rPr>
        <w:t>我</w:t>
      </w:r>
      <w:r>
        <w:rPr>
          <w:rFonts w:cs="Times New Roman"/>
          <w:color w:val="000000"/>
          <w:kern w:val="0"/>
          <w:szCs w:val="32"/>
          <w14:ligatures w14:val="none"/>
        </w:rPr>
        <w:t>市智能网联汽车</w:t>
      </w:r>
      <w:r>
        <w:rPr>
          <w:rFonts w:hint="eastAsia" w:cs="Times New Roman"/>
          <w:color w:val="000000"/>
          <w:kern w:val="0"/>
          <w:szCs w:val="32"/>
          <w14:ligatures w14:val="none"/>
        </w:rPr>
        <w:t>商业化</w:t>
      </w:r>
      <w:r>
        <w:rPr>
          <w:rFonts w:cs="Times New Roman"/>
          <w:color w:val="000000"/>
          <w:kern w:val="0"/>
          <w:szCs w:val="32"/>
          <w14:ligatures w14:val="none"/>
        </w:rPr>
        <w:t>运营活动，保障道路交通安全，根据有关法律、法规，结合</w:t>
      </w:r>
      <w:r>
        <w:rPr>
          <w:rFonts w:hint="eastAsia" w:cs="Times New Roman"/>
          <w:color w:val="000000"/>
          <w:kern w:val="0"/>
          <w:szCs w:val="32"/>
          <w:lang w:eastAsia="zh-CN"/>
          <w14:ligatures w14:val="none"/>
        </w:rPr>
        <w:t>我</w:t>
      </w:r>
      <w:r>
        <w:rPr>
          <w:rFonts w:cs="Times New Roman"/>
          <w:color w:val="000000"/>
          <w:kern w:val="0"/>
          <w:szCs w:val="32"/>
          <w14:ligatures w14:val="none"/>
        </w:rPr>
        <w:t>市实际，制定本细则。</w:t>
      </w:r>
    </w:p>
    <w:p>
      <w:pPr>
        <w:widowControl/>
        <w:spacing w:line="240" w:lineRule="auto"/>
        <w:ind w:firstLine="643"/>
        <w:rPr>
          <w:rFonts w:ascii="仿宋_GB2312" w:cs="Times New Roman"/>
          <w:kern w:val="0"/>
          <w:szCs w:val="32"/>
        </w:rPr>
      </w:pPr>
      <w:r>
        <w:rPr>
          <w:rFonts w:cs="Times New Roman"/>
          <w:b/>
          <w:bCs/>
          <w:color w:val="000000"/>
          <w:kern w:val="0"/>
          <w:szCs w:val="32"/>
          <w14:ligatures w14:val="none"/>
        </w:rPr>
        <w:t>第</w:t>
      </w:r>
      <w:r>
        <w:rPr>
          <w:rFonts w:hint="eastAsia" w:cs="Times New Roman"/>
          <w:b/>
          <w:bCs/>
          <w:color w:val="000000"/>
          <w:kern w:val="0"/>
          <w:szCs w:val="32"/>
          <w14:ligatures w14:val="none"/>
        </w:rPr>
        <w:t>二</w:t>
      </w:r>
      <w:r>
        <w:rPr>
          <w:rFonts w:cs="Times New Roman"/>
          <w:b/>
          <w:bCs/>
          <w:color w:val="000000"/>
          <w:kern w:val="0"/>
          <w:szCs w:val="32"/>
          <w14:ligatures w14:val="none"/>
        </w:rPr>
        <w:t>条</w:t>
      </w:r>
      <w:r>
        <w:rPr>
          <w:rFonts w:hint="eastAsia" w:cs="Times New Roman"/>
          <w:color w:val="000000"/>
          <w:kern w:val="0"/>
          <w:szCs w:val="32"/>
          <w14:ligatures w14:val="none"/>
        </w:rPr>
        <w:t xml:space="preserve"> </w:t>
      </w:r>
      <w:r>
        <w:rPr>
          <w:rFonts w:hint="eastAsia" w:ascii="仿宋_GB2312" w:cs="Times New Roman"/>
          <w:kern w:val="0"/>
          <w:szCs w:val="32"/>
        </w:rPr>
        <w:t>智能网联汽车在本市行政区域内的各类公路（包括高速公路）、城市道路（包括城市快速路）、特定区域范围内等用于社会机动车通行的各类道路和测试区（场），开展商业化试点活动以及相关监督管理，适用本细则。</w:t>
      </w:r>
    </w:p>
    <w:p>
      <w:pPr>
        <w:widowControl/>
        <w:spacing w:line="240" w:lineRule="auto"/>
        <w:ind w:firstLine="643"/>
      </w:pPr>
      <w:r>
        <w:rPr>
          <w:rFonts w:cs="Times New Roman"/>
          <w:b/>
          <w:bCs/>
          <w:color w:val="000000"/>
          <w:kern w:val="0"/>
          <w:szCs w:val="32"/>
          <w14:ligatures w14:val="none"/>
        </w:rPr>
        <w:t>第</w:t>
      </w:r>
      <w:r>
        <w:rPr>
          <w:rFonts w:hint="eastAsia" w:cs="Times New Roman"/>
          <w:b/>
          <w:bCs/>
          <w:color w:val="000000"/>
          <w:kern w:val="0"/>
          <w:szCs w:val="32"/>
          <w14:ligatures w14:val="none"/>
        </w:rPr>
        <w:t>三</w:t>
      </w:r>
      <w:r>
        <w:rPr>
          <w:rFonts w:cs="Times New Roman"/>
          <w:b/>
          <w:bCs/>
          <w:color w:val="000000"/>
          <w:kern w:val="0"/>
          <w:szCs w:val="32"/>
          <w14:ligatures w14:val="none"/>
        </w:rPr>
        <w:t>条</w:t>
      </w:r>
      <w:r>
        <w:rPr>
          <w:rFonts w:cs="Times New Roman"/>
          <w:color w:val="000000"/>
          <w:kern w:val="0"/>
          <w:szCs w:val="32"/>
          <w14:ligatures w14:val="none"/>
        </w:rPr>
        <w:t xml:space="preserve"> </w:t>
      </w:r>
      <w:r>
        <w:t>商业化试点是指以商业运营探索为目的开展的智能网联汽车载人、载货和专项作业等多种形式的收费服务试点活动。主要包括以下场景</w:t>
      </w:r>
      <w:r>
        <w:rPr>
          <w:rFonts w:hint="eastAsia"/>
        </w:rPr>
        <w:t>：</w:t>
      </w:r>
    </w:p>
    <w:p>
      <w:pPr>
        <w:widowControl/>
        <w:spacing w:line="240" w:lineRule="auto"/>
        <w:ind w:firstLine="640"/>
      </w:pPr>
      <w:r>
        <w:rPr>
          <w:rFonts w:hint="eastAsia"/>
        </w:rPr>
        <w:t>（一）</w:t>
      </w:r>
      <w:r>
        <w:t>载人商业化试点项目是指以智能网联汽车（自动驾驶）为载体，在路面开展的</w:t>
      </w:r>
      <w:r>
        <w:rPr>
          <w:rFonts w:hint="eastAsia"/>
        </w:rPr>
        <w:t>智能出租</w:t>
      </w:r>
      <w:r>
        <w:t>、</w:t>
      </w:r>
      <w:r>
        <w:rPr>
          <w:rFonts w:hint="eastAsia"/>
        </w:rPr>
        <w:t>智能</w:t>
      </w:r>
      <w:r>
        <w:t>公交等客运活动。</w:t>
      </w:r>
    </w:p>
    <w:p>
      <w:pPr>
        <w:widowControl/>
        <w:spacing w:line="240" w:lineRule="auto"/>
        <w:ind w:firstLine="640"/>
      </w:pPr>
      <w:r>
        <w:t>（二）载物商业化试点项目是指以智能网联汽车（自动驾驶）为载体，在路面开展的普通道路货物运输（危险货物除外）活动，载物车辆包括小型货车、牵引车和重型货车等。</w:t>
      </w:r>
    </w:p>
    <w:p>
      <w:pPr>
        <w:widowControl/>
        <w:spacing w:line="240" w:lineRule="auto"/>
        <w:ind w:firstLine="640"/>
      </w:pPr>
      <w:r>
        <w:t>（三）专项作业商业化试点项目是指以智能网联汽车（自动驾驶）为载体，在路面开展的环卫、</w:t>
      </w:r>
      <w:r>
        <w:rPr>
          <w:rFonts w:hint="eastAsia"/>
        </w:rPr>
        <w:t>配送、零售</w:t>
      </w:r>
      <w:r>
        <w:t>及其他作业活动。</w:t>
      </w:r>
    </w:p>
    <w:p>
      <w:pPr>
        <w:pStyle w:val="3"/>
      </w:pPr>
      <w:r>
        <w:rPr>
          <w:rFonts w:hint="eastAsia"/>
        </w:rPr>
        <w:t xml:space="preserve">第二章 </w:t>
      </w:r>
      <w:r>
        <w:rPr>
          <w:rStyle w:val="10"/>
          <w:rFonts w:hint="eastAsia"/>
          <w:b w:val="0"/>
          <w:bCs/>
        </w:rPr>
        <w:t>管理机构及职责分工</w:t>
      </w:r>
    </w:p>
    <w:p>
      <w:pPr>
        <w:widowControl/>
        <w:spacing w:line="240" w:lineRule="auto"/>
        <w:ind w:firstLine="643"/>
      </w:pPr>
      <w:r>
        <w:rPr>
          <w:rFonts w:cs="Times New Roman"/>
          <w:b/>
          <w:bCs/>
          <w:color w:val="000000"/>
          <w:kern w:val="0"/>
          <w:szCs w:val="32"/>
          <w14:ligatures w14:val="none"/>
        </w:rPr>
        <w:t>第</w:t>
      </w:r>
      <w:r>
        <w:rPr>
          <w:rFonts w:hint="eastAsia" w:cs="Times New Roman"/>
          <w:b/>
          <w:bCs/>
          <w:color w:val="000000"/>
          <w:kern w:val="0"/>
          <w:szCs w:val="32"/>
          <w14:ligatures w14:val="none"/>
        </w:rPr>
        <w:t>四</w:t>
      </w:r>
      <w:r>
        <w:rPr>
          <w:rFonts w:cs="Times New Roman"/>
          <w:b/>
          <w:bCs/>
          <w:color w:val="000000"/>
          <w:kern w:val="0"/>
          <w:szCs w:val="32"/>
          <w14:ligatures w14:val="none"/>
        </w:rPr>
        <w:t>条</w:t>
      </w:r>
      <w:r>
        <w:rPr>
          <w:rFonts w:cs="Times New Roman"/>
          <w:color w:val="000000"/>
          <w:kern w:val="0"/>
          <w:szCs w:val="32"/>
          <w14:ligatures w14:val="none"/>
        </w:rPr>
        <w:t xml:space="preserve"> </w:t>
      </w:r>
      <w:r>
        <w:rPr>
          <w:rFonts w:hint="eastAsia" w:ascii="仿宋_GB2312" w:cs="Times New Roman"/>
          <w:kern w:val="0"/>
          <w:szCs w:val="32"/>
        </w:rPr>
        <w:t>由</w:t>
      </w:r>
      <w:r>
        <w:rPr>
          <w:rFonts w:hint="eastAsia" w:ascii="仿宋_GB2312" w:cs="Times New Roman"/>
          <w:kern w:val="0"/>
          <w:szCs w:val="32"/>
          <w:lang w:eastAsia="zh-CN"/>
        </w:rPr>
        <w:t>鄂尔多斯市智能网联汽车测试与应用专项工作组</w:t>
      </w:r>
      <w:r>
        <w:rPr>
          <w:rFonts w:hint="eastAsia" w:ascii="仿宋_GB2312" w:cs="Times New Roman"/>
          <w:kern w:val="0"/>
          <w:szCs w:val="32"/>
        </w:rPr>
        <w:t>（以下简称“</w:t>
      </w:r>
      <w:r>
        <w:rPr>
          <w:rFonts w:hint="eastAsia" w:ascii="仿宋_GB2312" w:cs="Times New Roman"/>
          <w:kern w:val="0"/>
          <w:szCs w:val="32"/>
          <w:lang w:eastAsia="zh-CN"/>
        </w:rPr>
        <w:t>市智能网联工作组</w:t>
      </w:r>
      <w:r>
        <w:rPr>
          <w:rFonts w:hint="eastAsia" w:ascii="仿宋_GB2312" w:cs="Times New Roman"/>
          <w:kern w:val="0"/>
          <w:szCs w:val="32"/>
        </w:rPr>
        <w:t>”）</w:t>
      </w:r>
      <w:r>
        <w:t>，统筹推进</w:t>
      </w:r>
      <w:r>
        <w:rPr>
          <w:rFonts w:hint="eastAsia"/>
          <w:lang w:eastAsia="zh-CN"/>
        </w:rPr>
        <w:t>我</w:t>
      </w:r>
      <w:r>
        <w:rPr>
          <w:rFonts w:hint="eastAsia"/>
        </w:rPr>
        <w:t>市</w:t>
      </w:r>
      <w:r>
        <w:t>智能网联汽车</w:t>
      </w:r>
      <w:r>
        <w:rPr>
          <w:rFonts w:hint="eastAsia"/>
        </w:rPr>
        <w:t>商业化试点申请</w:t>
      </w:r>
      <w:r>
        <w:t>、安全管理、事故处理及舆情处置等相关工作，具体分工如下：</w:t>
      </w:r>
    </w:p>
    <w:p>
      <w:pPr>
        <w:widowControl/>
        <w:ind w:firstLine="640"/>
        <w:rPr>
          <w:rFonts w:hint="eastAsia" w:ascii="仿宋_GB2312" w:cs="Times New Roman"/>
          <w:color w:val="auto"/>
          <w:kern w:val="0"/>
          <w:szCs w:val="32"/>
        </w:rPr>
      </w:pPr>
      <w:r>
        <w:rPr>
          <w:rFonts w:hint="eastAsia" w:ascii="仿宋_GB2312" w:cs="Times New Roman"/>
          <w:color w:val="auto"/>
          <w:kern w:val="0"/>
          <w:szCs w:val="32"/>
        </w:rPr>
        <w:t>（一）</w:t>
      </w:r>
      <w:bookmarkStart w:id="0" w:name="_Hlk166277320"/>
      <w:r>
        <w:rPr>
          <w:rFonts w:hint="eastAsia" w:ascii="仿宋_GB2312" w:cs="Times New Roman"/>
          <w:color w:val="auto"/>
          <w:kern w:val="0"/>
          <w:szCs w:val="32"/>
        </w:rPr>
        <w:t>市</w:t>
      </w:r>
      <w:r>
        <w:rPr>
          <w:rFonts w:hint="eastAsia" w:ascii="仿宋_GB2312" w:cs="Times New Roman"/>
          <w:color w:val="auto"/>
          <w:kern w:val="0"/>
          <w:szCs w:val="32"/>
          <w:lang w:eastAsia="zh-CN"/>
        </w:rPr>
        <w:t>人民</w:t>
      </w:r>
      <w:r>
        <w:rPr>
          <w:rFonts w:hint="eastAsia" w:ascii="仿宋_GB2312" w:cs="Times New Roman"/>
          <w:color w:val="auto"/>
          <w:kern w:val="0"/>
          <w:szCs w:val="32"/>
        </w:rPr>
        <w:t>政府负责总体统筹和协调</w:t>
      </w:r>
      <w:r>
        <w:rPr>
          <w:rFonts w:hint="eastAsia" w:ascii="仿宋_GB2312" w:cs="Times New Roman"/>
          <w:color w:val="auto"/>
          <w:kern w:val="0"/>
          <w:szCs w:val="32"/>
          <w:lang w:eastAsia="zh-CN"/>
        </w:rPr>
        <w:t>，</w:t>
      </w:r>
      <w:r>
        <w:rPr>
          <w:rFonts w:hint="eastAsia" w:ascii="仿宋_GB2312" w:cs="Times New Roman"/>
          <w:color w:val="auto"/>
          <w:kern w:val="0"/>
          <w:szCs w:val="32"/>
        </w:rPr>
        <w:t>定期组织召开</w:t>
      </w:r>
      <w:r>
        <w:rPr>
          <w:rFonts w:hint="eastAsia" w:ascii="仿宋_GB2312" w:cs="Times New Roman"/>
          <w:color w:val="auto"/>
          <w:kern w:val="0"/>
          <w:szCs w:val="32"/>
          <w:lang w:eastAsia="zh-CN"/>
        </w:rPr>
        <w:t>市智能网联工作组</w:t>
      </w:r>
      <w:r>
        <w:rPr>
          <w:rFonts w:hint="eastAsia" w:ascii="仿宋_GB2312" w:cs="Times New Roman"/>
          <w:color w:val="auto"/>
          <w:kern w:val="0"/>
          <w:szCs w:val="32"/>
        </w:rPr>
        <w:t>会议；审议建设方案、政策措施、重点企业和项目引进等重要工作安排。</w:t>
      </w:r>
    </w:p>
    <w:bookmarkEnd w:id="0"/>
    <w:p>
      <w:pPr>
        <w:widowControl/>
        <w:ind w:firstLine="640"/>
        <w:rPr>
          <w:rFonts w:hint="eastAsia" w:ascii="仿宋_GB2312" w:cs="Times New Roman"/>
          <w:color w:val="auto"/>
          <w:kern w:val="0"/>
          <w:szCs w:val="32"/>
        </w:rPr>
      </w:pPr>
      <w:r>
        <w:rPr>
          <w:rFonts w:hint="eastAsia" w:ascii="仿宋_GB2312" w:cs="Times New Roman"/>
          <w:color w:val="auto"/>
          <w:kern w:val="0"/>
          <w:szCs w:val="32"/>
        </w:rPr>
        <w:t>市交通运输局负责对相关主体开展商业化试点活动给予必要的指导及支持；配套设置开放路段及区域的标志、标线及其他必要设施；定期向社会公示商业化试点的时间、路段及区域等信息。</w:t>
      </w:r>
    </w:p>
    <w:p>
      <w:pPr>
        <w:widowControl/>
        <w:ind w:firstLine="640"/>
        <w:rPr>
          <w:rFonts w:hint="eastAsia" w:ascii="仿宋_GB2312" w:cs="Times New Roman"/>
          <w:color w:val="auto"/>
          <w:kern w:val="0"/>
          <w:szCs w:val="32"/>
        </w:rPr>
      </w:pPr>
      <w:r>
        <w:rPr>
          <w:rFonts w:hint="eastAsia" w:ascii="仿宋_GB2312" w:cs="Times New Roman"/>
          <w:color w:val="auto"/>
          <w:kern w:val="0"/>
          <w:szCs w:val="32"/>
        </w:rPr>
        <w:t>市</w:t>
      </w:r>
      <w:r>
        <w:rPr>
          <w:rFonts w:hint="eastAsia" w:ascii="仿宋_GB2312" w:cs="Times New Roman"/>
          <w:color w:val="auto"/>
          <w:kern w:val="0"/>
          <w:szCs w:val="32"/>
          <w:lang w:eastAsia="zh-CN"/>
        </w:rPr>
        <w:t>工业和信息化局</w:t>
      </w:r>
      <w:r>
        <w:rPr>
          <w:rFonts w:hint="eastAsia" w:ascii="仿宋_GB2312" w:cs="Times New Roman"/>
          <w:color w:val="auto"/>
          <w:kern w:val="0"/>
          <w:szCs w:val="32"/>
        </w:rPr>
        <w:t>负责对相关主体开展商业化试点活动给予必要的指导和支持。</w:t>
      </w:r>
    </w:p>
    <w:p>
      <w:pPr>
        <w:widowControl/>
        <w:ind w:firstLine="640"/>
        <w:rPr>
          <w:rFonts w:hint="eastAsia" w:ascii="仿宋_GB2312" w:cs="Times New Roman"/>
          <w:color w:val="auto"/>
          <w:kern w:val="0"/>
          <w:szCs w:val="32"/>
        </w:rPr>
      </w:pPr>
      <w:r>
        <w:rPr>
          <w:rFonts w:hint="eastAsia" w:ascii="仿宋_GB2312" w:cs="Times New Roman"/>
          <w:color w:val="auto"/>
          <w:kern w:val="0"/>
          <w:szCs w:val="32"/>
        </w:rPr>
        <w:t>市公安局负责对相关主体开展商业化试点活动给予必要的指导及支持；开展鄂尔多斯市道路交通环境复杂性和安全性评估工作；对商业化试点过程中的车辆和驾驶人进行监管，并定期公布商业化试点安全注意事项；处理商业化试点过程中发生的交通违法行为和事故。</w:t>
      </w:r>
    </w:p>
    <w:p>
      <w:pPr>
        <w:widowControl/>
        <w:spacing w:line="240" w:lineRule="auto"/>
        <w:ind w:firstLine="640"/>
      </w:pPr>
      <w:r>
        <w:rPr>
          <w:rFonts w:hint="eastAsia" w:ascii="仿宋_GB2312" w:cs="Times New Roman"/>
          <w:kern w:val="0"/>
          <w:szCs w:val="32"/>
          <w:lang w:eastAsia="zh-CN"/>
        </w:rPr>
        <w:t>市智能网联工作组</w:t>
      </w:r>
      <w:r>
        <w:t>委托第三方管理机构负责智能网联汽车商业化试点的日常事务，包括对商业化试点主体提交的申请材料进行初审、评估、备案，对车辆进行核验；收集分析车辆的运行数据、事故情况及分析报告，并定期上报</w:t>
      </w:r>
      <w:r>
        <w:rPr>
          <w:rFonts w:hint="eastAsia" w:ascii="仿宋_GB2312" w:cs="Times New Roman"/>
          <w:kern w:val="0"/>
          <w:szCs w:val="32"/>
          <w:lang w:eastAsia="zh-CN"/>
        </w:rPr>
        <w:t>市智能网联工作组</w:t>
      </w:r>
      <w:r>
        <w:t>。</w:t>
      </w:r>
    </w:p>
    <w:p>
      <w:pPr>
        <w:widowControl/>
        <w:spacing w:line="240" w:lineRule="auto"/>
        <w:ind w:firstLine="640"/>
      </w:pPr>
      <w:r>
        <w:t>第三方管理机构应当</w:t>
      </w:r>
      <w:r>
        <w:rPr>
          <w:rFonts w:hint="eastAsia" w:ascii="仿宋_GB2312" w:cs="Times New Roman"/>
          <w:color w:val="auto"/>
          <w:kern w:val="0"/>
          <w:szCs w:val="32"/>
          <w:highlight w:val="none"/>
        </w:rPr>
        <w:t>具</w:t>
      </w:r>
      <w:r>
        <w:rPr>
          <w:rFonts w:hint="eastAsia" w:ascii="仿宋_GB2312" w:cs="Times New Roman"/>
          <w:color w:val="auto"/>
          <w:kern w:val="0"/>
          <w:szCs w:val="32"/>
          <w:highlight w:val="none"/>
          <w:lang w:eastAsia="zh-CN"/>
        </w:rPr>
        <w:t>有新能源智能网联汽车产业前沿引领技术和关键共性技术研发与应用、示范应用、成果转化等服务功能</w:t>
      </w:r>
      <w:r>
        <w:t>，能够独立、客观、公正地开展各项工作，对评估、审查等结果真实性负责。</w:t>
      </w:r>
    </w:p>
    <w:p>
      <w:pPr>
        <w:pStyle w:val="3"/>
        <w:rPr>
          <w:color w:val="000000"/>
          <w:kern w:val="0"/>
          <w14:ligatures w14:val="none"/>
        </w:rPr>
      </w:pPr>
      <w:r>
        <w:t xml:space="preserve">第三章 </w:t>
      </w:r>
      <w:r>
        <w:rPr>
          <w:rStyle w:val="10"/>
          <w:rFonts w:hint="eastAsia" w:cs="Times New Roman"/>
          <w:b w:val="0"/>
          <w:bCs/>
        </w:rPr>
        <w:t>商业化试点</w:t>
      </w:r>
      <w:r>
        <w:rPr>
          <w:rStyle w:val="10"/>
          <w:rFonts w:cs="Times New Roman"/>
          <w:b w:val="0"/>
          <w:bCs/>
        </w:rPr>
        <w:t>基本要求</w:t>
      </w:r>
    </w:p>
    <w:p>
      <w:pPr>
        <w:widowControl/>
        <w:spacing w:line="240" w:lineRule="auto"/>
        <w:ind w:firstLine="643"/>
      </w:pPr>
      <w:r>
        <w:rPr>
          <w:rFonts w:cs="Times New Roman"/>
          <w:b/>
          <w:bCs/>
          <w:color w:val="000000"/>
          <w:kern w:val="0"/>
          <w:szCs w:val="32"/>
          <w14:ligatures w14:val="none"/>
        </w:rPr>
        <w:t>第</w:t>
      </w:r>
      <w:r>
        <w:rPr>
          <w:rFonts w:hint="eastAsia" w:cs="Times New Roman"/>
          <w:b/>
          <w:bCs/>
          <w:color w:val="000000"/>
          <w:kern w:val="0"/>
          <w:szCs w:val="32"/>
          <w14:ligatures w14:val="none"/>
        </w:rPr>
        <w:t>五</w:t>
      </w:r>
      <w:r>
        <w:rPr>
          <w:rFonts w:cs="Times New Roman"/>
          <w:b/>
          <w:bCs/>
          <w:color w:val="000000"/>
          <w:kern w:val="0"/>
          <w:szCs w:val="32"/>
          <w14:ligatures w14:val="none"/>
        </w:rPr>
        <w:t>条</w:t>
      </w:r>
      <w:r>
        <w:rPr>
          <w:rFonts w:cs="Times New Roman"/>
          <w:color w:val="000000"/>
          <w:kern w:val="0"/>
          <w:szCs w:val="32"/>
          <w14:ligatures w14:val="none"/>
        </w:rPr>
        <w:t xml:space="preserve"> </w:t>
      </w:r>
      <w:r>
        <w:t>申请在</w:t>
      </w:r>
      <w:r>
        <w:rPr>
          <w:rFonts w:hint="eastAsia"/>
        </w:rPr>
        <w:t>鄂尔多斯市</w:t>
      </w:r>
      <w:r>
        <w:t>开展商业化试点活动的主体，应当符合以下条件：</w:t>
      </w:r>
    </w:p>
    <w:p>
      <w:pPr>
        <w:widowControl/>
        <w:spacing w:line="240" w:lineRule="auto"/>
        <w:ind w:firstLine="640"/>
      </w:pPr>
      <w:r>
        <w:t>（一）在中华人民共和国境内登记注册的独立法人单位或多个独立法人单位组成的联合体；</w:t>
      </w:r>
    </w:p>
    <w:p>
      <w:pPr>
        <w:widowControl/>
        <w:spacing w:line="240" w:lineRule="auto"/>
        <w:ind w:firstLine="640"/>
      </w:pPr>
      <w:r>
        <w:t>（二）具有不少于20辆的车队规模；</w:t>
      </w:r>
    </w:p>
    <w:p>
      <w:pPr>
        <w:widowControl/>
        <w:spacing w:line="240" w:lineRule="auto"/>
        <w:ind w:firstLine="640"/>
      </w:pPr>
      <w:r>
        <w:t>（三）对智能网联汽车商业化试点可能造成的人身和财产损失，具备足够的民事赔偿能力；</w:t>
      </w:r>
    </w:p>
    <w:p>
      <w:pPr>
        <w:widowControl/>
        <w:spacing w:line="240" w:lineRule="auto"/>
        <w:ind w:firstLine="640"/>
      </w:pPr>
      <w:r>
        <w:t>（四）在全国范围内累计获得20张以上的道路测试或示范应用牌照，累计完成20万公里的道路测试和10万公里的示范应用，其中申请载人商业化试点的主体应累计开展载人示范应用1万人次以上，且未发生责任交通事故；</w:t>
      </w:r>
    </w:p>
    <w:p>
      <w:pPr>
        <w:widowControl/>
        <w:spacing w:line="240" w:lineRule="auto"/>
        <w:ind w:firstLine="640"/>
      </w:pPr>
      <w:r>
        <w:t>（五）具备智能网联汽车（自动驾驶）安全保障团队，具备应急处理能力；配备网络安全专家团队，通过技术措施建立网络及数据安全防护体系；</w:t>
      </w:r>
    </w:p>
    <w:p>
      <w:pPr>
        <w:widowControl/>
        <w:spacing w:line="240" w:lineRule="auto"/>
        <w:ind w:firstLine="640"/>
      </w:pPr>
      <w:r>
        <w:t>（六）具备健全的安全生产制度和应急预案，能够开展安全生产培训和事故处理培训，并承担安全生产主体责任。</w:t>
      </w:r>
    </w:p>
    <w:p>
      <w:pPr>
        <w:widowControl/>
        <w:spacing w:line="240" w:lineRule="auto"/>
        <w:ind w:firstLine="643"/>
      </w:pPr>
      <w:r>
        <w:rPr>
          <w:b/>
          <w:bCs/>
        </w:rPr>
        <w:t>第</w:t>
      </w:r>
      <w:r>
        <w:rPr>
          <w:rFonts w:hint="eastAsia"/>
          <w:b/>
          <w:bCs/>
        </w:rPr>
        <w:t>六</w:t>
      </w:r>
      <w:r>
        <w:rPr>
          <w:b/>
          <w:bCs/>
        </w:rPr>
        <w:t>条</w:t>
      </w:r>
      <w:r>
        <w:t xml:space="preserve"> 申请在</w:t>
      </w:r>
      <w:r>
        <w:rPr>
          <w:rFonts w:hint="eastAsia"/>
        </w:rPr>
        <w:t>鄂尔多斯市</w:t>
      </w:r>
      <w:r>
        <w:t>开展商业化试点活动的车辆，应当符合以下条件：</w:t>
      </w:r>
    </w:p>
    <w:p>
      <w:pPr>
        <w:widowControl/>
        <w:spacing w:line="240" w:lineRule="auto"/>
        <w:ind w:firstLine="640"/>
      </w:pPr>
      <w:r>
        <w:t>（一）已取得</w:t>
      </w:r>
      <w:r>
        <w:rPr>
          <w:rFonts w:hint="eastAsia"/>
        </w:rPr>
        <w:t>鄂尔多斯市</w:t>
      </w:r>
      <w:r>
        <w:t>智能网联汽车示范应用标识、临时行驶车号牌；</w:t>
      </w:r>
    </w:p>
    <w:p>
      <w:pPr>
        <w:widowControl/>
        <w:spacing w:line="240" w:lineRule="auto"/>
        <w:ind w:firstLine="640"/>
      </w:pPr>
      <w:r>
        <w:t>（二）以自动驾驶模式在</w:t>
      </w:r>
      <w:r>
        <w:rPr>
          <w:rFonts w:hint="eastAsia"/>
        </w:rPr>
        <w:t>鄂尔多斯市</w:t>
      </w:r>
      <w:r>
        <w:t>范围内拟进行商业化试点的路段和区域，已完成每车累计开展不低于</w:t>
      </w:r>
      <w:r>
        <w:rPr>
          <w:rFonts w:hint="eastAsia"/>
        </w:rPr>
        <w:t>360</w:t>
      </w:r>
      <w:r>
        <w:t>小时或</w:t>
      </w:r>
      <w:r>
        <w:rPr>
          <w:rFonts w:hint="eastAsia"/>
        </w:rPr>
        <w:t>1500</w:t>
      </w:r>
      <w:r>
        <w:t>公里示范应用</w:t>
      </w:r>
      <w:r>
        <w:rPr>
          <w:rFonts w:hint="eastAsia"/>
        </w:rPr>
        <w:t>，</w:t>
      </w:r>
      <w:r>
        <w:t>在示范应用期间无交通违法行为且未发生道路测试车辆方承担责任的交通事故。</w:t>
      </w:r>
    </w:p>
    <w:p>
      <w:pPr>
        <w:widowControl/>
        <w:spacing w:line="240" w:lineRule="auto"/>
        <w:ind w:firstLine="643"/>
      </w:pPr>
      <w:r>
        <w:rPr>
          <w:b/>
          <w:bCs/>
        </w:rPr>
        <w:t>第</w:t>
      </w:r>
      <w:r>
        <w:rPr>
          <w:rFonts w:hint="eastAsia"/>
          <w:b/>
          <w:bCs/>
        </w:rPr>
        <w:t>七</w:t>
      </w:r>
      <w:r>
        <w:rPr>
          <w:b/>
          <w:bCs/>
        </w:rPr>
        <w:t>条</w:t>
      </w:r>
      <w:r>
        <w:t xml:space="preserve"> 在</w:t>
      </w:r>
      <w:r>
        <w:rPr>
          <w:rFonts w:hint="eastAsia"/>
        </w:rPr>
        <w:t>鄂尔多斯市</w:t>
      </w:r>
      <w:r>
        <w:t>开展商业化试点活动的驾驶人，除了满足</w:t>
      </w:r>
      <w:r>
        <w:rPr>
          <w:rFonts w:cs="Times New Roman"/>
          <w:color w:val="000000"/>
          <w:kern w:val="0"/>
          <w:szCs w:val="32"/>
          <w14:ligatures w14:val="none"/>
        </w:rPr>
        <w:t>《鄂尔多斯市智能网联汽车测试与示范应用管理办法（试行）》</w:t>
      </w:r>
      <w:r>
        <w:t>相关规定中的要求之外，还应符合以下条件：</w:t>
      </w:r>
    </w:p>
    <w:p>
      <w:pPr>
        <w:widowControl/>
        <w:spacing w:line="240" w:lineRule="auto"/>
        <w:ind w:firstLine="640"/>
      </w:pPr>
      <w:r>
        <w:t>（一）应符合从事商业化试点行业对应的相关资质要求；</w:t>
      </w:r>
    </w:p>
    <w:p>
      <w:pPr>
        <w:widowControl/>
        <w:spacing w:line="240" w:lineRule="auto"/>
        <w:ind w:firstLine="640"/>
      </w:pPr>
      <w:r>
        <w:t>（二）具有3年以上相应准驾车型机动车驾驶经验和100小时以上自动驾驶系统操作经验；</w:t>
      </w:r>
    </w:p>
    <w:p>
      <w:pPr>
        <w:widowControl/>
        <w:spacing w:line="240" w:lineRule="auto"/>
        <w:ind w:firstLine="640"/>
      </w:pPr>
      <w:r>
        <w:t>（三）通过商业化试点主体组织的智能网联汽车商业化试点驾驶人培训考核。</w:t>
      </w:r>
    </w:p>
    <w:p>
      <w:pPr>
        <w:widowControl/>
        <w:spacing w:line="240" w:lineRule="auto"/>
        <w:ind w:firstLine="643"/>
      </w:pPr>
      <w:r>
        <w:rPr>
          <w:b/>
          <w:bCs/>
        </w:rPr>
        <w:t>第</w:t>
      </w:r>
      <w:r>
        <w:rPr>
          <w:rFonts w:hint="eastAsia"/>
          <w:b/>
          <w:bCs/>
        </w:rPr>
        <w:t>八</w:t>
      </w:r>
      <w:r>
        <w:rPr>
          <w:b/>
          <w:bCs/>
        </w:rPr>
        <w:t>条</w:t>
      </w:r>
      <w:r>
        <w:t xml:space="preserve"> 申请在</w:t>
      </w:r>
      <w:r>
        <w:rPr>
          <w:rFonts w:hint="eastAsia"/>
        </w:rPr>
        <w:t>鄂尔多斯市</w:t>
      </w:r>
      <w:r>
        <w:t>开展商业化试点的主体应向</w:t>
      </w:r>
      <w:r>
        <w:rPr>
          <w:rFonts w:hint="eastAsia" w:ascii="仿宋_GB2312" w:cs="Times New Roman"/>
          <w:kern w:val="0"/>
          <w:szCs w:val="32"/>
          <w:lang w:eastAsia="zh-CN"/>
        </w:rPr>
        <w:t>市智能网联工作组</w:t>
      </w:r>
      <w:r>
        <w:t>提供以下材料：</w:t>
      </w:r>
    </w:p>
    <w:p>
      <w:pPr>
        <w:widowControl/>
        <w:spacing w:line="240" w:lineRule="auto"/>
        <w:ind w:firstLine="640"/>
      </w:pPr>
      <w:r>
        <w:t>（一）满足本规定</w:t>
      </w:r>
      <w:r>
        <w:rPr>
          <w:rFonts w:hint="eastAsia"/>
        </w:rPr>
        <w:t>第四、</w:t>
      </w:r>
      <w:r>
        <w:t>五、六条要求的商业化试点主体、车辆及驾驶人的基本情况材料；</w:t>
      </w:r>
    </w:p>
    <w:p>
      <w:pPr>
        <w:widowControl/>
        <w:spacing w:line="240" w:lineRule="auto"/>
        <w:ind w:firstLine="640"/>
      </w:pPr>
      <w:r>
        <w:t>（二）智能网联汽车商业化试点主体承诺书（见附件1）；</w:t>
      </w:r>
    </w:p>
    <w:p>
      <w:pPr>
        <w:widowControl/>
        <w:spacing w:line="240" w:lineRule="auto"/>
        <w:ind w:firstLine="640"/>
      </w:pPr>
      <w:r>
        <w:t>（三）智能网联汽车商业化试点信息登记报备表（见附件2），含车辆、商业化试点路段、商业化试点时间、商业服务收费标准、收费机制、应急预案、预约平台等信息；</w:t>
      </w:r>
    </w:p>
    <w:p>
      <w:pPr>
        <w:widowControl/>
        <w:spacing w:line="240" w:lineRule="auto"/>
        <w:ind w:firstLine="640"/>
      </w:pPr>
      <w:r>
        <w:t>（四）每车不少于500万元人民币的交通事故责任保险凭证，以及每车每座位不低于200万元人民币的座位险保险凭证。</w:t>
      </w:r>
    </w:p>
    <w:p>
      <w:pPr>
        <w:widowControl/>
        <w:spacing w:line="240" w:lineRule="auto"/>
        <w:ind w:firstLine="643"/>
      </w:pPr>
      <w:r>
        <w:rPr>
          <w:b/>
          <w:bCs/>
        </w:rPr>
        <w:t>第</w:t>
      </w:r>
      <w:r>
        <w:rPr>
          <w:rFonts w:hint="eastAsia"/>
          <w:b/>
          <w:bCs/>
        </w:rPr>
        <w:t>九</w:t>
      </w:r>
      <w:r>
        <w:rPr>
          <w:b/>
          <w:bCs/>
        </w:rPr>
        <w:t>条</w:t>
      </w:r>
      <w:r>
        <w:t xml:space="preserve"> 无人商业化试点活动是指驾驶座上无人的智能网联汽车商业化试点活动。</w:t>
      </w:r>
    </w:p>
    <w:p>
      <w:pPr>
        <w:widowControl/>
        <w:spacing w:line="240" w:lineRule="auto"/>
        <w:ind w:firstLine="640"/>
        <w:rPr>
          <w:rFonts w:cs="Times New Roman"/>
          <w:color w:val="000000"/>
          <w:kern w:val="0"/>
          <w:szCs w:val="32"/>
          <w14:ligatures w14:val="none"/>
        </w:rPr>
      </w:pPr>
      <w:r>
        <w:t>申请开展无人商业化试点的主体，除提交第</w:t>
      </w:r>
      <w:r>
        <w:rPr>
          <w:rFonts w:hint="eastAsia"/>
        </w:rPr>
        <w:t>八</w:t>
      </w:r>
      <w:r>
        <w:t>条要求的申请材料外，还应提供在拟开展商业化试点的路段上累计商业化试点里程达到25000公里（同型号、同系统、同架构车辆不超过5台共同累积）或累计开展无人化示范应用里程达到5000公里（同型号、同系统、同架构车辆不超过5台共同累积），且未发生责任交通事故的材料、车辆远程监控平台及通讯系统说明材料、网络及数据安全风险评估与安全保障机制的相关说明材料。</w:t>
      </w:r>
    </w:p>
    <w:p>
      <w:pPr>
        <w:pStyle w:val="3"/>
        <w:rPr>
          <w:rFonts w:cs="Times New Roman"/>
        </w:rPr>
      </w:pPr>
      <w:r>
        <w:rPr>
          <w:rFonts w:cs="Times New Roman"/>
        </w:rPr>
        <w:t>第</w:t>
      </w:r>
      <w:r>
        <w:rPr>
          <w:rFonts w:hint="eastAsia" w:cs="Times New Roman"/>
        </w:rPr>
        <w:t>四</w:t>
      </w:r>
      <w:r>
        <w:rPr>
          <w:rFonts w:cs="Times New Roman"/>
        </w:rPr>
        <w:t xml:space="preserve">章 </w:t>
      </w:r>
      <w:r>
        <w:rPr>
          <w:rStyle w:val="10"/>
          <w:rFonts w:hint="eastAsia" w:cs="Times New Roman"/>
          <w:b w:val="0"/>
          <w:bCs/>
        </w:rPr>
        <w:t>商业化试点申请流程</w:t>
      </w:r>
    </w:p>
    <w:p>
      <w:pPr>
        <w:widowControl/>
        <w:spacing w:line="240" w:lineRule="auto"/>
        <w:ind w:firstLine="643"/>
        <w:rPr>
          <w:rFonts w:cs="Times New Roman"/>
          <w:color w:val="000000"/>
          <w:kern w:val="0"/>
          <w:szCs w:val="32"/>
          <w14:ligatures w14:val="none"/>
        </w:rPr>
      </w:pPr>
      <w:r>
        <w:rPr>
          <w:rFonts w:cs="Times New Roman"/>
          <w:b/>
          <w:bCs/>
          <w:color w:val="000000"/>
          <w:kern w:val="0"/>
          <w:szCs w:val="32"/>
          <w14:ligatures w14:val="none"/>
        </w:rPr>
        <w:t>第</w:t>
      </w:r>
      <w:r>
        <w:rPr>
          <w:rFonts w:hint="eastAsia" w:cs="Times New Roman"/>
          <w:b/>
          <w:bCs/>
          <w:color w:val="000000"/>
          <w:kern w:val="0"/>
          <w:szCs w:val="32"/>
          <w14:ligatures w14:val="none"/>
        </w:rPr>
        <w:t>十</w:t>
      </w:r>
      <w:r>
        <w:rPr>
          <w:rFonts w:cs="Times New Roman"/>
          <w:b/>
          <w:bCs/>
          <w:color w:val="000000"/>
          <w:kern w:val="0"/>
          <w:szCs w:val="32"/>
          <w14:ligatures w14:val="none"/>
        </w:rPr>
        <w:t>条</w:t>
      </w:r>
      <w:r>
        <w:rPr>
          <w:rFonts w:hint="eastAsia" w:cs="Times New Roman"/>
          <w:color w:val="000000"/>
          <w:kern w:val="0"/>
          <w:szCs w:val="32"/>
          <w14:ligatures w14:val="none"/>
        </w:rPr>
        <w:t xml:space="preserve"> </w:t>
      </w:r>
      <w:r>
        <w:rPr>
          <w:rFonts w:hint="eastAsia" w:ascii="仿宋_GB2312" w:cs="Times New Roman"/>
          <w:kern w:val="0"/>
          <w:szCs w:val="32"/>
          <w:lang w:eastAsia="zh-CN"/>
        </w:rPr>
        <w:t>市智能网联工作组</w:t>
      </w:r>
      <w:r>
        <w:rPr>
          <w:rFonts w:hint="eastAsia" w:ascii="仿宋_GB2312" w:cs="Times New Roman"/>
          <w:kern w:val="0"/>
          <w:szCs w:val="32"/>
        </w:rPr>
        <w:t>委托</w:t>
      </w:r>
      <w:r>
        <w:rPr>
          <w:rFonts w:hint="eastAsia" w:cs="Times New Roman"/>
          <w:color w:val="000000"/>
          <w:kern w:val="0"/>
          <w:szCs w:val="32"/>
          <w14:ligatures w14:val="none"/>
        </w:rPr>
        <w:t>第三方管理机构对材料进行初审。</w:t>
      </w:r>
      <w:r>
        <w:t>第三方管理机构收到材料后应对车辆开展实车性能检测，对相关主体提供的车辆及相关功能与申请材料描述内容的一致性进行审查，出具审查报告</w:t>
      </w:r>
      <w:r>
        <w:rPr>
          <w:rFonts w:hint="eastAsia"/>
        </w:rPr>
        <w:t>，并在</w:t>
      </w:r>
      <w:r>
        <w:t>审核结束后5个工作日内将初审结果、车辆核查报告上报</w:t>
      </w:r>
      <w:r>
        <w:rPr>
          <w:rFonts w:hint="eastAsia" w:ascii="仿宋_GB2312" w:cs="Times New Roman"/>
          <w:kern w:val="0"/>
          <w:szCs w:val="32"/>
          <w:lang w:eastAsia="zh-CN"/>
        </w:rPr>
        <w:t>市智能网联工作组</w:t>
      </w:r>
      <w:r>
        <w:rPr>
          <w:rFonts w:hint="eastAsia" w:cs="Times New Roman"/>
          <w:color w:val="000000"/>
          <w:kern w:val="0"/>
          <w:szCs w:val="32"/>
          <w14:ligatures w14:val="none"/>
        </w:rPr>
        <w:t>，并在5个工作日内召集评审专家委员会进行评审论证</w:t>
      </w:r>
      <w:r>
        <w:rPr>
          <w:rFonts w:cs="Times New Roman"/>
          <w:color w:val="000000"/>
          <w:kern w:val="0"/>
          <w:szCs w:val="32"/>
          <w14:ligatures w14:val="none"/>
        </w:rPr>
        <w:t>。</w:t>
      </w:r>
    </w:p>
    <w:p>
      <w:pPr>
        <w:widowControl/>
        <w:spacing w:line="240" w:lineRule="auto"/>
        <w:ind w:firstLine="640"/>
      </w:pPr>
      <w:r>
        <w:rPr>
          <w:rFonts w:hint="eastAsia" w:ascii="仿宋_GB2312" w:cs="Times New Roman"/>
          <w:kern w:val="0"/>
          <w:szCs w:val="32"/>
          <w:lang w:eastAsia="zh-CN"/>
        </w:rPr>
        <w:t>市智能网联工作组</w:t>
      </w:r>
      <w:r>
        <w:t>应依据专家评审意见，</w:t>
      </w:r>
      <w:r>
        <w:rPr>
          <w:rFonts w:hint="eastAsia"/>
        </w:rPr>
        <w:t>于5个工作日内</w:t>
      </w:r>
      <w:r>
        <w:t>向获得试点资格的申请主体</w:t>
      </w:r>
      <w:r>
        <w:rPr>
          <w:rFonts w:hint="eastAsia"/>
        </w:rPr>
        <w:t>发放</w:t>
      </w:r>
      <w:r>
        <w:t>商业化试点通知书，</w:t>
      </w:r>
      <w:r>
        <w:rPr>
          <w:rFonts w:hint="eastAsia"/>
        </w:rPr>
        <w:t>对符合要求的车辆发放商业化试点标识</w:t>
      </w:r>
      <w:r>
        <w:t>。第三方管理机构应在已获得商业化试点标识的车辆上安装用于实时回传下列信息的监管装置，将下列信息接入监管平台</w:t>
      </w:r>
      <w:r>
        <w:rPr>
          <w:rFonts w:hint="eastAsia"/>
        </w:rPr>
        <w:t>：</w:t>
      </w:r>
    </w:p>
    <w:p>
      <w:pPr>
        <w:widowControl/>
        <w:spacing w:line="240" w:lineRule="auto"/>
        <w:ind w:firstLine="640"/>
      </w:pPr>
      <w:r>
        <w:rPr>
          <w:rFonts w:hint="eastAsia"/>
        </w:rPr>
        <w:t>（一）</w:t>
      </w:r>
      <w:r>
        <w:t>车辆标识（车架号或临时行驶标识信息等）</w:t>
      </w:r>
      <w:r>
        <w:rPr>
          <w:rFonts w:hint="eastAsia"/>
        </w:rPr>
        <w:t>；</w:t>
      </w:r>
    </w:p>
    <w:p>
      <w:pPr>
        <w:widowControl/>
        <w:spacing w:line="240" w:lineRule="auto"/>
        <w:ind w:firstLine="640"/>
      </w:pPr>
      <w:r>
        <w:rPr>
          <w:rFonts w:hint="eastAsia"/>
        </w:rPr>
        <w:t>（二）车辆控制模式；</w:t>
      </w:r>
    </w:p>
    <w:p>
      <w:pPr>
        <w:widowControl/>
        <w:spacing w:line="240" w:lineRule="auto"/>
        <w:ind w:firstLine="640"/>
      </w:pPr>
      <w:r>
        <w:rPr>
          <w:rFonts w:hint="eastAsia"/>
        </w:rPr>
        <w:t>（三）车辆位置；</w:t>
      </w:r>
    </w:p>
    <w:p>
      <w:pPr>
        <w:widowControl/>
        <w:spacing w:line="240" w:lineRule="auto"/>
        <w:ind w:firstLine="640"/>
      </w:pPr>
      <w:r>
        <w:rPr>
          <w:rFonts w:hint="eastAsia"/>
        </w:rPr>
        <w:t>（四）车辆速度、加速度、行驶方向等运动状态；</w:t>
      </w:r>
    </w:p>
    <w:p>
      <w:pPr>
        <w:widowControl/>
        <w:spacing w:line="240" w:lineRule="auto"/>
        <w:ind w:firstLine="640"/>
      </w:pPr>
      <w:r>
        <w:rPr>
          <w:rFonts w:hint="eastAsia"/>
        </w:rPr>
        <w:t>（五）车辆接收的远程控制指令（如有）；</w:t>
      </w:r>
    </w:p>
    <w:p>
      <w:pPr>
        <w:widowControl/>
        <w:spacing w:line="240" w:lineRule="auto"/>
        <w:ind w:firstLine="640"/>
      </w:pPr>
      <w:r>
        <w:rPr>
          <w:rFonts w:hint="eastAsia"/>
        </w:rPr>
        <w:t>（六）车辆故障情况（如有）。</w:t>
      </w:r>
    </w:p>
    <w:p>
      <w:pPr>
        <w:widowControl/>
        <w:spacing w:line="240" w:lineRule="auto"/>
        <w:ind w:firstLine="640"/>
      </w:pPr>
      <w:r>
        <w:t>商业化试点主体凭临时行驶车号牌，可按照通知书及 信息登记报备表上的试点方案开展相应活动。</w:t>
      </w:r>
    </w:p>
    <w:p>
      <w:pPr>
        <w:widowControl/>
        <w:spacing w:line="240" w:lineRule="auto"/>
        <w:ind w:firstLine="643"/>
      </w:pPr>
      <w:r>
        <w:rPr>
          <w:b/>
          <w:bCs/>
        </w:rPr>
        <w:t>第十</w:t>
      </w:r>
      <w:r>
        <w:rPr>
          <w:rFonts w:hint="eastAsia"/>
          <w:b/>
          <w:bCs/>
        </w:rPr>
        <w:t>一</w:t>
      </w:r>
      <w:r>
        <w:rPr>
          <w:b/>
          <w:bCs/>
        </w:rPr>
        <w:t>条</w:t>
      </w:r>
      <w:r>
        <w:t xml:space="preserve"> 智能网联汽车车辆性能检测适用</w:t>
      </w:r>
      <w:r>
        <w:rPr>
          <w:rFonts w:hint="eastAsia"/>
        </w:rPr>
        <w:t>“</w:t>
      </w:r>
      <w:r>
        <w:t>三同</w:t>
      </w:r>
      <w:r>
        <w:rPr>
          <w:rFonts w:hint="eastAsia"/>
        </w:rPr>
        <w:t>”</w:t>
      </w:r>
      <w:r>
        <w:t>（同型号、同系统、同架构）原则。首次申请开展商业化试点的智能网联汽车，应由第三方管理机构抽取不超过20辆（最少为1辆）进行车辆性能检测，其余进行</w:t>
      </w:r>
      <w:r>
        <w:rPr>
          <w:rFonts w:hint="eastAsia"/>
        </w:rPr>
        <w:t>“</w:t>
      </w:r>
      <w:r>
        <w:t>三同</w:t>
      </w:r>
      <w:r>
        <w:rPr>
          <w:rFonts w:hint="eastAsia"/>
        </w:rPr>
        <w:t>”</w:t>
      </w:r>
      <w:r>
        <w:t>一致性核查，并由第三方管理机构出具核查报告等材料。</w:t>
      </w:r>
    </w:p>
    <w:p>
      <w:pPr>
        <w:widowControl/>
        <w:spacing w:line="240" w:lineRule="auto"/>
        <w:ind w:firstLine="640"/>
      </w:pPr>
      <w:r>
        <w:t>新增申请商业化试点的</w:t>
      </w:r>
      <w:r>
        <w:rPr>
          <w:rFonts w:hint="eastAsia"/>
        </w:rPr>
        <w:t>“</w:t>
      </w:r>
      <w:r>
        <w:t>三同</w:t>
      </w:r>
      <w:r>
        <w:rPr>
          <w:rFonts w:hint="eastAsia"/>
        </w:rPr>
        <w:t>”</w:t>
      </w:r>
      <w:r>
        <w:t>智能网联汽车，距离上一批次申请通过时间间隔在3个月之内的，由第三方管理机构开展一致性核查并出具报告；时间间隔超过3个月的（含3个月），应按前款要求重新进行车辆性能检测。</w:t>
      </w:r>
    </w:p>
    <w:p>
      <w:pPr>
        <w:widowControl/>
        <w:spacing w:line="240" w:lineRule="auto"/>
        <w:ind w:firstLine="643"/>
      </w:pPr>
      <w:r>
        <w:rPr>
          <w:b/>
          <w:bCs/>
        </w:rPr>
        <w:t>第</w:t>
      </w:r>
      <w:r>
        <w:rPr>
          <w:rFonts w:hint="eastAsia"/>
          <w:b/>
          <w:bCs/>
        </w:rPr>
        <w:t>十二</w:t>
      </w:r>
      <w:r>
        <w:rPr>
          <w:b/>
          <w:bCs/>
        </w:rPr>
        <w:t>条</w:t>
      </w:r>
      <w:r>
        <w:t xml:space="preserve"> 商业化试点主体申请新增</w:t>
      </w:r>
      <w:r>
        <w:rPr>
          <w:rFonts w:hint="eastAsia"/>
        </w:rPr>
        <w:t>“</w:t>
      </w:r>
      <w:r>
        <w:t>三同</w:t>
      </w:r>
      <w:r>
        <w:rPr>
          <w:rFonts w:hint="eastAsia"/>
        </w:rPr>
        <w:t>”</w:t>
      </w:r>
      <w:r>
        <w:t>车辆的，应在当前试点活动期间无发生责任交通事故的前提下，向</w:t>
      </w:r>
      <w:r>
        <w:rPr>
          <w:rFonts w:hint="eastAsia" w:ascii="仿宋_GB2312" w:cs="Times New Roman"/>
          <w:kern w:val="0"/>
          <w:szCs w:val="32"/>
          <w:lang w:eastAsia="zh-CN"/>
        </w:rPr>
        <w:t>市智能网联工作组</w:t>
      </w:r>
      <w:r>
        <w:t>提交拟增加的车辆数量及必要性说明、车辆性能检测报告或车辆一致性核查报告。</w:t>
      </w:r>
    </w:p>
    <w:p>
      <w:pPr>
        <w:widowControl/>
        <w:spacing w:line="240" w:lineRule="auto"/>
        <w:ind w:firstLine="643"/>
      </w:pPr>
      <w:r>
        <w:rPr>
          <w:b/>
          <w:bCs/>
        </w:rPr>
        <w:t>第十</w:t>
      </w:r>
      <w:r>
        <w:rPr>
          <w:rFonts w:hint="eastAsia"/>
          <w:b/>
          <w:bCs/>
        </w:rPr>
        <w:t>三</w:t>
      </w:r>
      <w:r>
        <w:rPr>
          <w:b/>
          <w:bCs/>
        </w:rPr>
        <w:t>条</w:t>
      </w:r>
      <w:r>
        <w:t xml:space="preserve"> 商业化试点主体如需变更驾驶人、运行计划等相关信息的，应立即停止商业化试点活动，提前10个工作日向第三方管理机构提交信息变更表（见附件3）进行评估，在通过第三方管理机构评估并备案后，方可继续开展商业化试点活动。</w:t>
      </w:r>
    </w:p>
    <w:p>
      <w:pPr>
        <w:widowControl/>
        <w:spacing w:line="240" w:lineRule="auto"/>
        <w:ind w:firstLine="640"/>
      </w:pPr>
      <w:r>
        <w:t>商业化试点主体如需变更车辆软硬件配置的，应立即停止车辆的商业化试点，提前10个工作日向第三方管理机构提交信息变更表（见附件3），并上报</w:t>
      </w:r>
      <w:r>
        <w:rPr>
          <w:rFonts w:hint="eastAsia" w:ascii="仿宋_GB2312" w:cs="Times New Roman"/>
          <w:kern w:val="0"/>
          <w:szCs w:val="32"/>
          <w:lang w:eastAsia="zh-CN"/>
        </w:rPr>
        <w:t>市智能网联工作组</w:t>
      </w:r>
      <w:r>
        <w:t>，由</w:t>
      </w:r>
      <w:r>
        <w:rPr>
          <w:rFonts w:hint="eastAsia" w:ascii="仿宋_GB2312" w:cs="Times New Roman"/>
          <w:kern w:val="0"/>
          <w:szCs w:val="32"/>
          <w:lang w:eastAsia="zh-CN"/>
        </w:rPr>
        <w:t>市智能网联工作组</w:t>
      </w:r>
      <w:r>
        <w:t>召开工作会议进行评审，经审核通过后方可变更信息并继续开展相应活动。</w:t>
      </w:r>
    </w:p>
    <w:p>
      <w:pPr>
        <w:widowControl/>
        <w:spacing w:line="240" w:lineRule="auto"/>
        <w:ind w:firstLine="643"/>
      </w:pPr>
      <w:r>
        <w:rPr>
          <w:b/>
          <w:bCs/>
        </w:rPr>
        <w:t>第十</w:t>
      </w:r>
      <w:r>
        <w:rPr>
          <w:rFonts w:hint="eastAsia"/>
          <w:b/>
          <w:bCs/>
        </w:rPr>
        <w:t>四</w:t>
      </w:r>
      <w:r>
        <w:rPr>
          <w:b/>
          <w:bCs/>
        </w:rPr>
        <w:t>条</w:t>
      </w:r>
      <w:r>
        <w:t xml:space="preserve"> 开展商业化试点活动的车辆须配备驾驶人，在车辆处于不适合运营的状态或系统提示需要人工操作时及时采取相应措施。</w:t>
      </w:r>
    </w:p>
    <w:p>
      <w:pPr>
        <w:widowControl/>
        <w:spacing w:line="240" w:lineRule="auto"/>
        <w:ind w:firstLine="640"/>
      </w:pPr>
      <w:r>
        <w:t>商业化试点主体应当加强对驾驶人的自动驾驶系统操作、安全驾驶、职业技能、职业道德等方面的培训教育，制定人员管理制度，定期向</w:t>
      </w:r>
      <w:r>
        <w:rPr>
          <w:rFonts w:hint="eastAsia" w:ascii="仿宋_GB2312" w:cs="Times New Roman"/>
          <w:kern w:val="0"/>
          <w:szCs w:val="32"/>
          <w:lang w:eastAsia="zh-CN"/>
        </w:rPr>
        <w:t>市智能网联工作组</w:t>
      </w:r>
      <w:r>
        <w:t>上报安全管理的相关材料。</w:t>
      </w:r>
    </w:p>
    <w:p>
      <w:pPr>
        <w:widowControl/>
        <w:spacing w:line="240" w:lineRule="auto"/>
        <w:ind w:firstLine="643"/>
      </w:pPr>
      <w:r>
        <w:rPr>
          <w:b/>
          <w:bCs/>
        </w:rPr>
        <w:t>第</w:t>
      </w:r>
      <w:r>
        <w:rPr>
          <w:rFonts w:hint="eastAsia"/>
          <w:b/>
          <w:bCs/>
        </w:rPr>
        <w:t>十五</w:t>
      </w:r>
      <w:r>
        <w:rPr>
          <w:b/>
          <w:bCs/>
        </w:rPr>
        <w:t>条</w:t>
      </w:r>
      <w:r>
        <w:t xml:space="preserve"> 商业化试点主体应建立服务评价体系和投诉处理制度，与试乘体验者签订试乘告知书，充分告知试乘风险性，同时采取其他有效措施保障试乘体验者人身安全。</w:t>
      </w:r>
    </w:p>
    <w:p>
      <w:pPr>
        <w:widowControl/>
        <w:spacing w:line="240" w:lineRule="auto"/>
        <w:ind w:firstLine="643"/>
      </w:pPr>
      <w:r>
        <w:rPr>
          <w:b/>
          <w:bCs/>
        </w:rPr>
        <w:t>第</w:t>
      </w:r>
      <w:r>
        <w:rPr>
          <w:rFonts w:hint="eastAsia"/>
          <w:b/>
          <w:bCs/>
        </w:rPr>
        <w:t>十六</w:t>
      </w:r>
      <w:r>
        <w:rPr>
          <w:b/>
          <w:bCs/>
        </w:rPr>
        <w:t>条</w:t>
      </w:r>
      <w:r>
        <w:t xml:space="preserve"> 商业化试点主体应按规定定期提交报告及材料，并对数据的真实性与合法性负责。在通知书有效期间，每个月应向第三方管理机构提交月度阶段性报告，包括车辆运行情况数据、车辆异常情况、驾驶人信息及管理情况、运营数据等。在商业化试点活动结束后1个月内向第三方管理机构提交总结报告。</w:t>
      </w:r>
    </w:p>
    <w:p>
      <w:pPr>
        <w:widowControl/>
        <w:spacing w:line="240" w:lineRule="auto"/>
        <w:ind w:firstLine="643"/>
      </w:pPr>
      <w:r>
        <w:rPr>
          <w:b/>
          <w:bCs/>
        </w:rPr>
        <w:t>第</w:t>
      </w:r>
      <w:r>
        <w:rPr>
          <w:rFonts w:hint="eastAsia"/>
          <w:b/>
          <w:bCs/>
        </w:rPr>
        <w:t>十七</w:t>
      </w:r>
      <w:r>
        <w:rPr>
          <w:b/>
          <w:bCs/>
        </w:rPr>
        <w:t>条</w:t>
      </w:r>
      <w:r>
        <w:t xml:space="preserve"> 商业化试点主体应遵守国家及</w:t>
      </w:r>
      <w:r>
        <w:rPr>
          <w:rFonts w:hint="eastAsia"/>
        </w:rPr>
        <w:t>鄂尔多斯市</w:t>
      </w:r>
      <w:r>
        <w:t>关于智能网联汽车网络和数据安全的有关规定，建立健全网络和数据安全防护体系，采取必要措施，保障网络免受干扰、破坏或者未经授权的访问，防止数据泄露或者被窃取、篡改；依法保护个人信息和数据安全，建立个人信息保护制度，做好个人信息收集和使用规则告知。</w:t>
      </w:r>
    </w:p>
    <w:p>
      <w:pPr>
        <w:widowControl/>
        <w:spacing w:line="240" w:lineRule="auto"/>
        <w:ind w:firstLine="643"/>
      </w:pPr>
      <w:r>
        <w:rPr>
          <w:b/>
          <w:bCs/>
        </w:rPr>
        <w:t>第</w:t>
      </w:r>
      <w:r>
        <w:rPr>
          <w:rFonts w:hint="eastAsia"/>
          <w:b/>
          <w:bCs/>
        </w:rPr>
        <w:t>十八</w:t>
      </w:r>
      <w:r>
        <w:rPr>
          <w:b/>
          <w:bCs/>
        </w:rPr>
        <w:t>条</w:t>
      </w:r>
      <w:r>
        <w:t xml:space="preserve"> 车辆在商业化试点期间发生交通违法行为的，由交警部门按照现行道路交通安全法律法规对驾驶人进行处理。</w:t>
      </w:r>
    </w:p>
    <w:p>
      <w:pPr>
        <w:widowControl/>
        <w:spacing w:line="240" w:lineRule="auto"/>
        <w:ind w:firstLine="640"/>
      </w:pPr>
      <w:r>
        <w:t>车辆在商业化试点期间发生交通事故的，交警部门应当按照道路交通安全法律法规规章确定当事人的责任，并依照有关法律法规及司法解释确定损害赔偿责任；应当依法对当事人的道路</w:t>
      </w:r>
      <w:r>
        <w:rPr>
          <w:rFonts w:hint="eastAsia"/>
        </w:rPr>
        <w:t>交通</w:t>
      </w:r>
      <w:r>
        <w:t>安全违法行为作出处罚；构成犯罪的，依法追究当事人的刑事责任。</w:t>
      </w:r>
    </w:p>
    <w:p>
      <w:pPr>
        <w:widowControl/>
        <w:spacing w:line="240" w:lineRule="auto"/>
        <w:ind w:firstLine="643"/>
      </w:pPr>
      <w:r>
        <w:rPr>
          <w:b/>
          <w:bCs/>
        </w:rPr>
        <w:t>第十九条</w:t>
      </w:r>
      <w:r>
        <w:t xml:space="preserve"> 智能网联汽车在商业化试点过程中发生交通事故时，商业化试点主体或驾驶人应当立即停止相关活动，保护好现场并立即报警。商业化试点主体应在12小时内将事故情况及事故发生前后90秒车辆状态上报第三方管理机构和</w:t>
      </w:r>
      <w:r>
        <w:rPr>
          <w:rFonts w:hint="eastAsia" w:ascii="仿宋_GB2312" w:cs="Times New Roman"/>
          <w:kern w:val="0"/>
          <w:szCs w:val="32"/>
          <w:lang w:eastAsia="zh-CN"/>
        </w:rPr>
        <w:t>市智能网联工作组</w:t>
      </w:r>
      <w:r>
        <w:t>。</w:t>
      </w:r>
    </w:p>
    <w:p>
      <w:pPr>
        <w:widowControl/>
        <w:spacing w:line="240" w:lineRule="auto"/>
        <w:ind w:firstLine="640"/>
      </w:pPr>
      <w:r>
        <w:t>如造成人员重伤或死亡、车辆损毁的，商业化试点主体应在</w:t>
      </w:r>
      <w:r>
        <w:rPr>
          <w:rFonts w:hint="eastAsia"/>
        </w:rPr>
        <w:t>1</w:t>
      </w:r>
      <w:r>
        <w:t>小时内将事故情况上报</w:t>
      </w:r>
      <w:r>
        <w:rPr>
          <w:rFonts w:hint="eastAsia" w:ascii="仿宋_GB2312" w:cs="Times New Roman"/>
          <w:kern w:val="0"/>
          <w:szCs w:val="32"/>
          <w:lang w:eastAsia="zh-CN"/>
        </w:rPr>
        <w:t>市智能网联工作组</w:t>
      </w:r>
      <w:r>
        <w:t>。商业化试点主体未按要求上报的，暂停其商业化试点活动24个月。</w:t>
      </w:r>
    </w:p>
    <w:p>
      <w:pPr>
        <w:widowControl/>
        <w:spacing w:line="240" w:lineRule="auto"/>
        <w:ind w:firstLine="643"/>
      </w:pPr>
      <w:r>
        <w:rPr>
          <w:b/>
          <w:bCs/>
        </w:rPr>
        <w:t>第二十条</w:t>
      </w:r>
      <w:r>
        <w:t xml:space="preserve"> 智能网联汽车在商业化试点期间发生下列情形之一的，</w:t>
      </w:r>
      <w:r>
        <w:rPr>
          <w:rFonts w:hint="eastAsia" w:ascii="仿宋_GB2312" w:cs="Times New Roman"/>
          <w:kern w:val="0"/>
          <w:szCs w:val="32"/>
          <w:lang w:eastAsia="zh-CN"/>
        </w:rPr>
        <w:t>市智能网联工作组</w:t>
      </w:r>
      <w:r>
        <w:t>经核实后，有权暂停、终止其商业化试点，回收商业化试点通知书、临时行驶车号牌和标识，相关主体自被终止商业化试点活动之日起1年内不得提交商业化试点申请：</w:t>
      </w:r>
    </w:p>
    <w:p>
      <w:pPr>
        <w:widowControl/>
        <w:spacing w:line="240" w:lineRule="auto"/>
        <w:ind w:firstLine="640"/>
      </w:pPr>
      <w:r>
        <w:t>（一）因出现新的情况和变化，导致商业化试点主体、车辆、驾驶人已不满足本规定相关要求的；</w:t>
      </w:r>
    </w:p>
    <w:p>
      <w:pPr>
        <w:widowControl/>
        <w:spacing w:line="240" w:lineRule="auto"/>
        <w:ind w:firstLine="640"/>
      </w:pPr>
      <w:r>
        <w:t>（二）存在持续的超区运行、超时运行、信息报送造假、逃 避监管等严重违规行为的；</w:t>
      </w:r>
    </w:p>
    <w:p>
      <w:pPr>
        <w:widowControl/>
        <w:spacing w:line="240" w:lineRule="auto"/>
        <w:ind w:firstLine="640"/>
      </w:pPr>
      <w:r>
        <w:t>（三）未按规定提交阶段性商业化试点运营报告的；</w:t>
      </w:r>
    </w:p>
    <w:p>
      <w:pPr>
        <w:widowControl/>
        <w:spacing w:line="240" w:lineRule="auto"/>
        <w:ind w:firstLine="640"/>
      </w:pPr>
      <w:r>
        <w:t>（四）在商业化试点期间发生交通事故造成人员重伤、死亡或车辆毁损等严重情形的，但商业化试点车辆无责任时除外；</w:t>
      </w:r>
    </w:p>
    <w:p>
      <w:pPr>
        <w:widowControl/>
        <w:spacing w:line="240" w:lineRule="auto"/>
        <w:ind w:firstLine="640"/>
      </w:pPr>
      <w:r>
        <w:t>（五）</w:t>
      </w:r>
      <w:r>
        <w:rPr>
          <w:rFonts w:hint="eastAsia" w:ascii="仿宋_GB2312" w:cs="Times New Roman"/>
          <w:kern w:val="0"/>
          <w:szCs w:val="32"/>
          <w:lang w:eastAsia="zh-CN"/>
        </w:rPr>
        <w:t>市智能网联工作组</w:t>
      </w:r>
      <w:r>
        <w:t>认为存在重大安全风险的；</w:t>
      </w:r>
    </w:p>
    <w:p>
      <w:pPr>
        <w:widowControl/>
        <w:spacing w:line="240" w:lineRule="auto"/>
        <w:ind w:firstLine="640"/>
      </w:pPr>
      <w:r>
        <w:t>（六）其他违反本规定要求的</w:t>
      </w:r>
    </w:p>
    <w:p>
      <w:pPr>
        <w:widowControl/>
        <w:spacing w:line="240" w:lineRule="auto"/>
        <w:ind w:firstLine="643"/>
        <w:rPr>
          <w:rFonts w:cs="Times New Roman"/>
          <w:color w:val="000000"/>
          <w:kern w:val="0"/>
          <w:szCs w:val="32"/>
          <w14:ligatures w14:val="none"/>
        </w:rPr>
      </w:pPr>
      <w:r>
        <w:rPr>
          <w:rFonts w:cs="Times New Roman"/>
          <w:b/>
          <w:bCs/>
          <w:color w:val="000000"/>
          <w:kern w:val="0"/>
          <w:szCs w:val="32"/>
          <w14:ligatures w14:val="none"/>
        </w:rPr>
        <w:t>第二十</w:t>
      </w:r>
      <w:r>
        <w:rPr>
          <w:rFonts w:hint="eastAsia" w:cs="Times New Roman"/>
          <w:b/>
          <w:bCs/>
          <w:color w:val="000000"/>
          <w:kern w:val="0"/>
          <w:szCs w:val="32"/>
          <w14:ligatures w14:val="none"/>
        </w:rPr>
        <w:t>一</w:t>
      </w:r>
      <w:r>
        <w:rPr>
          <w:rFonts w:cs="Times New Roman"/>
          <w:b/>
          <w:bCs/>
          <w:color w:val="000000"/>
          <w:kern w:val="0"/>
          <w:szCs w:val="32"/>
          <w14:ligatures w14:val="none"/>
        </w:rPr>
        <w:t>条</w:t>
      </w:r>
      <w:r>
        <w:rPr>
          <w:rFonts w:hint="eastAsia" w:cs="Times New Roman"/>
          <w:color w:val="000000"/>
          <w:kern w:val="0"/>
          <w:szCs w:val="32"/>
          <w14:ligatures w14:val="none"/>
        </w:rPr>
        <w:t xml:space="preserve"> </w:t>
      </w:r>
      <w:r>
        <w:rPr>
          <w:rFonts w:cs="Times New Roman"/>
          <w:color w:val="000000"/>
          <w:kern w:val="0"/>
          <w:szCs w:val="32"/>
          <w14:ligatures w14:val="none"/>
        </w:rPr>
        <w:t>本细则自</w:t>
      </w:r>
      <w:r>
        <w:rPr>
          <w:rFonts w:hint="eastAsia" w:cs="Times New Roman"/>
          <w:color w:val="000000"/>
          <w:kern w:val="0"/>
          <w:szCs w:val="32"/>
          <w14:ligatures w14:val="none"/>
        </w:rPr>
        <w:t>2024</w:t>
      </w:r>
      <w:r>
        <w:rPr>
          <w:rFonts w:cs="Times New Roman"/>
          <w:color w:val="000000"/>
          <w:kern w:val="0"/>
          <w:szCs w:val="32"/>
          <w14:ligatures w14:val="none"/>
        </w:rPr>
        <w:t>年</w:t>
      </w:r>
      <w:r>
        <w:rPr>
          <w:rFonts w:hint="eastAsia" w:cs="Times New Roman"/>
          <w:color w:val="000000"/>
          <w:kern w:val="0"/>
          <w:szCs w:val="32"/>
          <w14:ligatures w14:val="none"/>
        </w:rPr>
        <w:t>X</w:t>
      </w:r>
      <w:r>
        <w:rPr>
          <w:rFonts w:cs="Times New Roman"/>
          <w:color w:val="000000"/>
          <w:kern w:val="0"/>
          <w:szCs w:val="32"/>
          <w14:ligatures w14:val="none"/>
        </w:rPr>
        <w:t>月</w:t>
      </w:r>
      <w:r>
        <w:rPr>
          <w:rFonts w:hint="eastAsia" w:cs="Times New Roman"/>
          <w:color w:val="000000"/>
          <w:kern w:val="0"/>
          <w:szCs w:val="32"/>
          <w14:ligatures w14:val="none"/>
        </w:rPr>
        <w:t>X</w:t>
      </w:r>
      <w:r>
        <w:rPr>
          <w:rFonts w:cs="Times New Roman"/>
          <w:color w:val="000000"/>
          <w:kern w:val="0"/>
          <w:szCs w:val="32"/>
          <w14:ligatures w14:val="none"/>
        </w:rPr>
        <w:t>日起施行</w:t>
      </w:r>
      <w:r>
        <w:rPr>
          <w:rFonts w:hint="eastAsia" w:cs="Times New Roman"/>
          <w:color w:val="000000"/>
          <w:kern w:val="0"/>
          <w:szCs w:val="32"/>
          <w14:ligatures w14:val="none"/>
        </w:rPr>
        <w:t>。</w:t>
      </w:r>
    </w:p>
    <w:p>
      <w:pPr>
        <w:widowControl/>
        <w:spacing w:line="240" w:lineRule="auto"/>
        <w:ind w:firstLine="640"/>
        <w:rPr>
          <w:rFonts w:cs="Times New Roman"/>
          <w:color w:val="000000"/>
          <w:kern w:val="0"/>
          <w:szCs w:val="32"/>
          <w14:ligatures w14:val="none"/>
        </w:rPr>
      </w:pPr>
    </w:p>
    <w:p>
      <w:pPr>
        <w:widowControl/>
        <w:spacing w:line="240" w:lineRule="auto"/>
        <w:ind w:firstLine="640"/>
        <w:rPr>
          <w:rFonts w:cs="Times New Roman"/>
          <w:color w:val="000000"/>
          <w:kern w:val="0"/>
          <w:szCs w:val="32"/>
          <w14:ligatures w14:val="none"/>
        </w:rPr>
      </w:pPr>
    </w:p>
    <w:p>
      <w:pPr>
        <w:widowControl/>
        <w:spacing w:line="240" w:lineRule="auto"/>
        <w:ind w:firstLine="640"/>
        <w:rPr>
          <w:rFonts w:cs="Times New Roman"/>
          <w:color w:val="000000"/>
          <w:kern w:val="0"/>
          <w:szCs w:val="32"/>
          <w14:ligatures w14:val="none"/>
        </w:rPr>
      </w:pPr>
      <w:r>
        <w:rPr>
          <w:rFonts w:hint="eastAsia" w:cs="Times New Roman"/>
          <w:color w:val="000000"/>
          <w:kern w:val="0"/>
          <w:szCs w:val="32"/>
          <w14:ligatures w14:val="none"/>
        </w:rPr>
        <w:t>附件：1、智能网联汽车商业化试点主体承诺书</w:t>
      </w:r>
    </w:p>
    <w:p>
      <w:pPr>
        <w:widowControl/>
        <w:spacing w:line="240" w:lineRule="auto"/>
        <w:ind w:firstLine="640"/>
        <w:rPr>
          <w:rFonts w:cs="Times New Roman"/>
          <w:color w:val="000000"/>
          <w:kern w:val="0"/>
          <w:szCs w:val="32"/>
          <w14:ligatures w14:val="none"/>
        </w:rPr>
      </w:pPr>
      <w:r>
        <w:rPr>
          <w:rFonts w:hint="eastAsia" w:cs="Times New Roman"/>
          <w:color w:val="000000"/>
          <w:kern w:val="0"/>
          <w:szCs w:val="32"/>
          <w14:ligatures w14:val="none"/>
        </w:rPr>
        <w:t xml:space="preserve">            2、智能网联汽车商业化试点信息登记报备表</w:t>
      </w:r>
    </w:p>
    <w:p>
      <w:pPr>
        <w:widowControl/>
        <w:spacing w:line="240" w:lineRule="auto"/>
        <w:ind w:firstLine="640"/>
        <w:rPr>
          <w:rFonts w:cs="Times New Roman"/>
          <w:color w:val="000000"/>
          <w:kern w:val="0"/>
          <w:szCs w:val="32"/>
          <w14:ligatures w14:val="none"/>
        </w:rPr>
      </w:pPr>
      <w:r>
        <w:rPr>
          <w:rFonts w:hint="eastAsia" w:cs="Times New Roman"/>
          <w:color w:val="000000"/>
          <w:kern w:val="0"/>
          <w:szCs w:val="32"/>
          <w14:ligatures w14:val="none"/>
        </w:rPr>
        <w:t xml:space="preserve">            3、商业化试点信息变更表</w:t>
      </w:r>
    </w:p>
    <w:p>
      <w:pPr>
        <w:widowControl/>
        <w:spacing w:line="240" w:lineRule="auto"/>
        <w:ind w:firstLine="640"/>
        <w:rPr>
          <w:rFonts w:cs="Times New Roman"/>
          <w:color w:val="000000"/>
          <w:kern w:val="0"/>
          <w:szCs w:val="32"/>
          <w14:ligatures w14: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pPr>
    </w:p>
    <w:p>
      <w:pPr>
        <w:widowControl/>
        <w:spacing w:line="240" w:lineRule="auto"/>
        <w:ind w:firstLine="0" w:firstLineChars="0"/>
        <w:rPr>
          <w:rFonts w:ascii="黑体" w:hAnsi="黑体" w:eastAsia="黑体" w:cs="Times New Roman"/>
          <w:color w:val="000000"/>
          <w:kern w:val="0"/>
          <w:szCs w:val="32"/>
          <w14:ligatures w14:val="none"/>
        </w:rPr>
      </w:pPr>
      <w:r>
        <w:rPr>
          <w:rFonts w:hint="eastAsia" w:ascii="黑体" w:hAnsi="黑体" w:eastAsia="黑体" w:cs="Times New Roman"/>
          <w:color w:val="000000"/>
          <w:kern w:val="0"/>
          <w:szCs w:val="32"/>
          <w14:ligatures w14:val="none"/>
        </w:rPr>
        <w:t>附件1</w:t>
      </w:r>
    </w:p>
    <w:p>
      <w:pPr>
        <w:widowControl/>
        <w:spacing w:line="240" w:lineRule="auto"/>
        <w:ind w:firstLine="0" w:firstLineChars="0"/>
        <w:jc w:val="center"/>
        <w:rPr>
          <w:rFonts w:ascii="黑体" w:hAnsi="黑体" w:eastAsia="黑体" w:cs="Times New Roman"/>
          <w:color w:val="000000"/>
          <w:kern w:val="0"/>
          <w:sz w:val="36"/>
          <w:szCs w:val="36"/>
          <w14:ligatures w14:val="none"/>
        </w:rPr>
      </w:pPr>
      <w:r>
        <w:rPr>
          <w:rFonts w:hint="eastAsia" w:ascii="黑体" w:hAnsi="黑体" w:eastAsia="黑体" w:cs="Times New Roman"/>
          <w:color w:val="000000"/>
          <w:kern w:val="0"/>
          <w:sz w:val="36"/>
          <w:szCs w:val="36"/>
          <w14:ligatures w14:val="none"/>
        </w:rPr>
        <w:t>智能网联汽车商业化试点主体承诺书</w:t>
      </w:r>
    </w:p>
    <w:p>
      <w:pPr>
        <w:widowControl/>
        <w:spacing w:line="240" w:lineRule="auto"/>
        <w:ind w:firstLine="640"/>
        <w:rPr>
          <w:rFonts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本单位</w:t>
      </w:r>
      <w:r>
        <w:rPr>
          <w:rFonts w:hint="eastAsia" w:ascii="仿宋_GB2312" w:hAnsi="黑体" w:cs="Times New Roman"/>
          <w:color w:val="000000"/>
          <w:kern w:val="0"/>
          <w:szCs w:val="32"/>
          <w:u w:val="single"/>
          <w14:ligatures w14:val="none"/>
        </w:rPr>
        <w:t xml:space="preserve">      （商业化试点主体名称）      </w:t>
      </w:r>
      <w:r>
        <w:rPr>
          <w:rFonts w:hint="eastAsia" w:ascii="仿宋_GB2312" w:hAnsi="黑体" w:cs="Times New Roman"/>
          <w:color w:val="000000"/>
          <w:kern w:val="0"/>
          <w:szCs w:val="32"/>
          <w14:ligatures w14:val="none"/>
        </w:rPr>
        <w:t>因业务需要，于</w:t>
      </w:r>
      <w:r>
        <w:rPr>
          <w:rFonts w:hint="eastAsia" w:ascii="仿宋_GB2312" w:hAnsi="黑体" w:cs="Times New Roman"/>
          <w:color w:val="000000"/>
          <w:kern w:val="0"/>
          <w:szCs w:val="32"/>
          <w:u w:val="single"/>
          <w14:ligatures w14:val="none"/>
        </w:rPr>
        <w:t xml:space="preserve">    年    月    日至    年    月    日</w:t>
      </w:r>
      <w:r>
        <w:rPr>
          <w:rFonts w:hint="eastAsia" w:ascii="仿宋_GB2312" w:hAnsi="黑体" w:cs="Times New Roman"/>
          <w:color w:val="000000"/>
          <w:kern w:val="0"/>
          <w:szCs w:val="32"/>
          <w14:ligatures w14:val="none"/>
        </w:rPr>
        <w:t>，在鄂尔多斯市开展智能网联汽车商业化试点活动，在这期间我单位承诺如下：</w:t>
      </w:r>
    </w:p>
    <w:p>
      <w:pPr>
        <w:widowControl/>
        <w:spacing w:line="240" w:lineRule="auto"/>
        <w:ind w:firstLine="640"/>
        <w:rPr>
          <w:rFonts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1.将严格遵守</w:t>
      </w:r>
      <w:r>
        <w:rPr>
          <w:rFonts w:cs="Times New Roman"/>
          <w:color w:val="000000"/>
          <w:kern w:val="0"/>
          <w:szCs w:val="32"/>
          <w14:ligatures w14:val="none"/>
        </w:rPr>
        <w:t>《鄂尔多斯市智能网联汽车测试与示范应用管理办法（试行）》</w:t>
      </w:r>
      <w:r>
        <w:rPr>
          <w:rFonts w:hint="eastAsia" w:ascii="仿宋_GB2312" w:hAnsi="黑体" w:cs="Times New Roman"/>
          <w:color w:val="000000"/>
          <w:kern w:val="0"/>
          <w:szCs w:val="32"/>
          <w14:ligatures w14:val="none"/>
        </w:rPr>
        <w:t>及相关法律法规的规定；</w:t>
      </w:r>
    </w:p>
    <w:p>
      <w:pPr>
        <w:widowControl/>
        <w:spacing w:line="240" w:lineRule="auto"/>
        <w:ind w:firstLine="640"/>
        <w:rPr>
          <w:rFonts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2.所提交的申请材料及相关文件真实有效；</w:t>
      </w:r>
    </w:p>
    <w:p>
      <w:pPr>
        <w:widowControl/>
        <w:spacing w:line="240" w:lineRule="auto"/>
        <w:ind w:firstLine="640"/>
        <w:rPr>
          <w:rFonts w:ascii="仿宋_GB2312" w:cs="Times New Roman"/>
          <w:kern w:val="0"/>
          <w:szCs w:val="32"/>
        </w:rPr>
      </w:pPr>
      <w:r>
        <w:rPr>
          <w:rFonts w:hint="eastAsia" w:ascii="仿宋_GB2312" w:hAnsi="黑体" w:cs="Times New Roman"/>
          <w:color w:val="000000"/>
          <w:kern w:val="0"/>
          <w:szCs w:val="32"/>
          <w14:ligatures w14:val="none"/>
        </w:rPr>
        <w:t>3.在开展智能网联汽车商业化试点活动期间，如发生交通事故或交通违法行为，将积极配合</w:t>
      </w:r>
      <w:r>
        <w:rPr>
          <w:rFonts w:hint="eastAsia" w:ascii="仿宋_GB2312" w:cs="Times New Roman"/>
          <w:kern w:val="0"/>
          <w:szCs w:val="32"/>
          <w:lang w:eastAsia="zh-CN"/>
        </w:rPr>
        <w:t>市智能网联工作组</w:t>
      </w:r>
      <w:r>
        <w:rPr>
          <w:rFonts w:hint="eastAsia" w:ascii="仿宋_GB2312" w:cs="Times New Roman"/>
          <w:kern w:val="0"/>
          <w:szCs w:val="32"/>
        </w:rPr>
        <w:t>及交警部门开展调查取证工作，主动承担相应责任。</w:t>
      </w:r>
    </w:p>
    <w:p>
      <w:pPr>
        <w:widowControl/>
        <w:spacing w:line="240" w:lineRule="auto"/>
        <w:ind w:firstLine="640"/>
        <w:rPr>
          <w:rFonts w:ascii="仿宋_GB2312" w:cs="Times New Roman"/>
          <w:kern w:val="0"/>
          <w:szCs w:val="32"/>
        </w:rPr>
      </w:pPr>
    </w:p>
    <w:p>
      <w:pPr>
        <w:widowControl/>
        <w:spacing w:line="240" w:lineRule="auto"/>
        <w:ind w:firstLine="640"/>
        <w:rPr>
          <w:rFonts w:ascii="仿宋_GB2312" w:cs="Times New Roman"/>
          <w:kern w:val="0"/>
          <w:szCs w:val="32"/>
        </w:rPr>
      </w:pPr>
    </w:p>
    <w:p>
      <w:pPr>
        <w:widowControl/>
        <w:spacing w:line="240" w:lineRule="auto"/>
        <w:ind w:firstLine="640"/>
        <w:rPr>
          <w:rFonts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法定代表人签字（签章）：</w:t>
      </w:r>
    </w:p>
    <w:p>
      <w:pPr>
        <w:widowControl/>
        <w:spacing w:line="240" w:lineRule="auto"/>
        <w:ind w:firstLine="640"/>
        <w:rPr>
          <w:rFonts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单位公章：</w:t>
      </w:r>
    </w:p>
    <w:p>
      <w:pPr>
        <w:widowControl/>
        <w:spacing w:line="240" w:lineRule="auto"/>
        <w:ind w:firstLine="2880" w:firstLineChars="900"/>
        <w:rPr>
          <w:rFonts w:ascii="仿宋_GB2312" w:cs="Times New Roman"/>
          <w:kern w:val="0"/>
          <w:szCs w:val="32"/>
        </w:rPr>
      </w:pPr>
    </w:p>
    <w:p>
      <w:pPr>
        <w:widowControl/>
        <w:spacing w:line="240" w:lineRule="auto"/>
        <w:ind w:firstLine="2880" w:firstLineChars="900"/>
        <w:rPr>
          <w:rFonts w:ascii="仿宋_GB2312" w:cs="Times New Roman"/>
          <w:kern w:val="0"/>
          <w:szCs w:val="32"/>
        </w:rPr>
      </w:pPr>
    </w:p>
    <w:p>
      <w:pPr>
        <w:widowControl/>
        <w:spacing w:line="240" w:lineRule="auto"/>
        <w:ind w:firstLine="2880" w:firstLineChars="900"/>
        <w:rPr>
          <w:rFonts w:hint="eastAsia"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 xml:space="preserve">                  年    月    日</w:t>
      </w:r>
    </w:p>
    <w:p>
      <w:pPr>
        <w:widowControl/>
        <w:spacing w:line="240" w:lineRule="auto"/>
        <w:ind w:firstLine="0" w:firstLineChars="0"/>
        <w:rPr>
          <w:rFonts w:ascii="黑体" w:hAnsi="黑体" w:eastAsia="黑体" w:cs="Times New Roman"/>
          <w:color w:val="000000"/>
          <w:kern w:val="0"/>
          <w:szCs w:val="32"/>
          <w14:ligatures w14:val="none"/>
        </w:rPr>
      </w:pPr>
      <w:r>
        <w:rPr>
          <w:rFonts w:hint="eastAsia" w:ascii="黑体" w:hAnsi="黑体" w:eastAsia="黑体" w:cs="Times New Roman"/>
          <w:color w:val="000000"/>
          <w:kern w:val="0"/>
          <w:szCs w:val="32"/>
          <w14:ligatures w14:val="none"/>
        </w:rPr>
        <w:t>附件2</w:t>
      </w:r>
    </w:p>
    <w:p>
      <w:pPr>
        <w:widowControl/>
        <w:spacing w:line="240" w:lineRule="auto"/>
        <w:ind w:firstLine="0" w:firstLineChars="0"/>
        <w:jc w:val="center"/>
        <w:rPr>
          <w:rFonts w:ascii="黑体" w:hAnsi="黑体" w:eastAsia="黑体" w:cs="Times New Roman"/>
          <w:color w:val="000000"/>
          <w:kern w:val="0"/>
          <w:sz w:val="36"/>
          <w:szCs w:val="36"/>
          <w14:ligatures w14:val="none"/>
        </w:rPr>
      </w:pPr>
      <w:r>
        <w:rPr>
          <w:rFonts w:hint="eastAsia" w:ascii="黑体" w:hAnsi="黑体" w:eastAsia="黑体" w:cs="Times New Roman"/>
          <w:color w:val="000000"/>
          <w:kern w:val="0"/>
          <w:sz w:val="36"/>
          <w:szCs w:val="36"/>
          <w14:ligatures w14:val="none"/>
        </w:rPr>
        <w:t>智能网联汽车商业化试点信息登记报备表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765"/>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一、申请主体名称</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二、主体基本信息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注册名称</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注册资本</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类型</w:t>
            </w:r>
          </w:p>
        </w:tc>
        <w:tc>
          <w:tcPr>
            <w:tcW w:w="6146" w:type="dxa"/>
            <w:gridSpan w:val="3"/>
            <w:vAlign w:val="center"/>
          </w:tcPr>
          <w:p>
            <w:pPr>
              <w:widowControl/>
              <w:spacing w:line="240" w:lineRule="auto"/>
              <w:ind w:firstLine="0" w:firstLineChars="0"/>
              <w:rPr>
                <w:rFonts w:ascii="仿宋_GB2312" w:hAnsi="黑体" w:cs="Times New Roman"/>
                <w:color w:val="000000"/>
                <w:kern w:val="0"/>
                <w:sz w:val="21"/>
                <w:szCs w:val="21"/>
                <w14:ligatures w14:val="none"/>
              </w:rPr>
            </w:pP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整车厂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系统运营商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零部件制造商</w:t>
            </w:r>
          </w:p>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互联网服务商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科研院所/高校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注：需提供主体工商注册相关文件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三、智能网联汽车基本信息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申请车辆数量</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序号</w:t>
            </w:r>
          </w:p>
        </w:tc>
        <w:tc>
          <w:tcPr>
            <w:tcW w:w="1559"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车辆型号</w:t>
            </w: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车辆识别代号</w:t>
            </w: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车辆种类</w:t>
            </w: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1</w:t>
            </w:r>
          </w:p>
        </w:tc>
        <w:tc>
          <w:tcPr>
            <w:tcW w:w="1559"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2</w:t>
            </w:r>
          </w:p>
        </w:tc>
        <w:tc>
          <w:tcPr>
            <w:tcW w:w="1559"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3</w:t>
            </w:r>
          </w:p>
        </w:tc>
        <w:tc>
          <w:tcPr>
            <w:tcW w:w="1559"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ascii="仿宋_GB2312" w:hAnsi="黑体" w:cs="Times New Roman"/>
                <w:color w:val="000000"/>
                <w:kern w:val="0"/>
                <w:sz w:val="21"/>
                <w:szCs w:val="21"/>
                <w14:ligatures w14:val="none"/>
              </w:rPr>
              <w:t>…</w:t>
            </w:r>
          </w:p>
        </w:tc>
        <w:tc>
          <w:tcPr>
            <w:tcW w:w="1559"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商业化试点通知书期限</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临时行驶号牌编码</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车辆累计师范应用情况</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交通违法次数</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交通事故次数</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车辆保险有效期</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注：需提供车辆商业化试点情况总结报告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 xml:space="preserve">四、商业化试点计划（是否无人化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是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项目负责人姓名</w:t>
            </w:r>
          </w:p>
        </w:tc>
        <w:tc>
          <w:tcPr>
            <w:tcW w:w="1765"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c>
          <w:tcPr>
            <w:tcW w:w="2190"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联系电话</w:t>
            </w:r>
          </w:p>
        </w:tc>
        <w:tc>
          <w:tcPr>
            <w:tcW w:w="2191" w:type="dxa"/>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商业化试点时间周期</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商业化试点时段</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 xml:space="preserve">    时   分至    时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仿宋_GB2312" w:hAnsi="黑体" w:cs="Times New Roman"/>
                <w:color w:val="000000"/>
                <w:kern w:val="0"/>
                <w:sz w:val="21"/>
                <w:szCs w:val="21"/>
                <w14:ligatures w14:val="none"/>
              </w:rPr>
              <w:t>商业化试点类型</w:t>
            </w:r>
          </w:p>
        </w:tc>
        <w:tc>
          <w:tcPr>
            <w:tcW w:w="6146" w:type="dxa"/>
            <w:gridSpan w:val="3"/>
            <w:vAlign w:val="center"/>
          </w:tcPr>
          <w:p>
            <w:pPr>
              <w:widowControl/>
              <w:spacing w:line="240" w:lineRule="auto"/>
              <w:ind w:firstLine="0" w:firstLineChars="0"/>
              <w:jc w:val="center"/>
              <w:rPr>
                <w:rFonts w:hint="eastAsia" w:ascii="仿宋_GB2312" w:hAnsi="黑体" w:cs="Times New Roman"/>
                <w:color w:val="000000"/>
                <w:kern w:val="0"/>
                <w:sz w:val="21"/>
                <w:szCs w:val="21"/>
                <w14:ligatures w14:val="none"/>
              </w:rPr>
            </w:pP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载人     </w:t>
            </w:r>
            <w:r>
              <w:rPr>
                <w:rFonts w:hint="eastAsia" w:ascii="微软雅黑" w:hAnsi="微软雅黑" w:eastAsia="微软雅黑"/>
                <w:color w:val="333333"/>
                <w:shd w:val="clear" w:color="auto" w:fill="FFFFFF"/>
              </w:rPr>
              <w:t>□</w:t>
            </w:r>
            <w:r>
              <w:rPr>
                <w:rFonts w:hint="eastAsia" w:ascii="仿宋_GB2312" w:hAnsi="黑体" w:cs="Times New Roman"/>
                <w:color w:val="000000"/>
                <w:kern w:val="0"/>
                <w:sz w:val="21"/>
                <w:szCs w:val="21"/>
                <w14:ligatures w14:val="none"/>
              </w:rPr>
              <w:t xml:space="preserve">载物     </w:t>
            </w:r>
            <w:r>
              <w:rPr>
                <w:rFonts w:hint="eastAsia" w:ascii="微软雅黑" w:hAnsi="微软雅黑" w:eastAsia="微软雅黑"/>
                <w:color w:val="333333"/>
                <w:shd w:val="clear" w:color="auto" w:fill="FFFFFF"/>
              </w:rPr>
              <w:t>□</w:t>
            </w:r>
            <w:r>
              <w:rPr>
                <w:rFonts w:hint="eastAsia" w:ascii="微软雅黑" w:hAnsi="微软雅黑"/>
                <w:color w:val="333333"/>
                <w:sz w:val="21"/>
                <w:szCs w:val="21"/>
                <w:shd w:val="clear" w:color="auto" w:fill="FFFFFF"/>
              </w:rPr>
              <w:t>专项作业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微软雅黑" w:hAnsi="微软雅黑" w:eastAsia="微软雅黑"/>
                <w:color w:val="333333"/>
                <w:sz w:val="21"/>
                <w:szCs w:val="21"/>
                <w:shd w:val="clear" w:color="auto" w:fill="FFFFFF"/>
              </w:rPr>
            </w:pPr>
            <w:r>
              <w:rPr>
                <w:rFonts w:hint="eastAsia" w:ascii="仿宋_GB2312" w:hAnsi="黑体" w:cs="Times New Roman"/>
                <w:color w:val="000000"/>
                <w:kern w:val="0"/>
                <w:sz w:val="21"/>
                <w:szCs w:val="21"/>
                <w14:ligatures w14:val="none"/>
              </w:rPr>
              <w:t>五、商业化试点路线或区域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jc w:val="center"/>
              <w:rPr>
                <w:rFonts w:hint="eastAsia" w:ascii="微软雅黑" w:hAnsi="微软雅黑" w:eastAsia="微软雅黑"/>
                <w:color w:val="333333"/>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微软雅黑"/>
                <w:color w:val="333333"/>
                <w:sz w:val="21"/>
                <w:szCs w:val="21"/>
                <w:shd w:val="clear" w:color="auto" w:fill="FFFFFF"/>
              </w:rPr>
              <w:t>六、风险分析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jc w:val="center"/>
              <w:rPr>
                <w:rFonts w:hint="eastAsia" w:ascii="仿宋_GB2312" w:hAnsi="微软雅黑"/>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hd w:val="clear" w:color="auto" w:fill="FFFFFF"/>
              </w:rPr>
            </w:pPr>
            <w:r>
              <w:rPr>
                <w:rFonts w:hint="eastAsia" w:ascii="仿宋_GB2312" w:hAnsi="黑体" w:cs="Times New Roman"/>
                <w:color w:val="000000"/>
                <w:kern w:val="0"/>
                <w:sz w:val="21"/>
                <w:szCs w:val="21"/>
                <w14:ligatures w14:val="none"/>
              </w:rPr>
              <w:t>七、应急预案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微软雅黑"/>
                <w:color w:val="333333"/>
                <w:sz w:val="21"/>
                <w:szCs w:val="21"/>
                <w:shd w:val="clear" w:color="auto" w:fill="FFFFFF"/>
              </w:rPr>
              <w:t>注：需提供异常情况下的处置内容、处置流程、保障机制等信息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黑体" w:cs="Times New Roman"/>
                <w:color w:val="000000"/>
                <w:kern w:val="0"/>
                <w:sz w:val="21"/>
                <w:szCs w:val="21"/>
                <w14:ligatures w14:val="none"/>
              </w:rPr>
              <w:t>八、预约平台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sz w:val="21"/>
                <w:szCs w:val="21"/>
              </w:rPr>
              <w:t>注：需提供商业化试点预约平台介绍，包括但不限于数据交互处理、支付结算 服务、服务保障机制等材料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黑体" w:cs="Times New Roman"/>
                <w:color w:val="000000"/>
                <w:kern w:val="0"/>
                <w:sz w:val="21"/>
                <w:szCs w:val="21"/>
                <w14:ligatures w14:val="none"/>
              </w:rPr>
              <w:t>九、保险方案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微软雅黑"/>
                <w:color w:val="333333"/>
                <w:sz w:val="21"/>
                <w:szCs w:val="21"/>
                <w:shd w:val="clear" w:color="auto" w:fill="FFFFFF"/>
              </w:rPr>
              <w:t>十、商业化试点收费标准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jc w:val="center"/>
              <w:rPr>
                <w:rFonts w:hint="eastAsia" w:ascii="仿宋_GB2312" w:hAnsi="微软雅黑"/>
                <w:color w:val="333333"/>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hd w:val="clear" w:color="auto" w:fill="FFFFFF"/>
              </w:rPr>
            </w:pPr>
            <w:r>
              <w:rPr>
                <w:rFonts w:hint="eastAsia" w:ascii="仿宋_GB2312" w:hAnsi="微软雅黑"/>
                <w:color w:val="333333"/>
                <w:sz w:val="21"/>
                <w:szCs w:val="21"/>
                <w:shd w:val="clear" w:color="auto" w:fill="FFFFFF"/>
              </w:rPr>
              <w:t>十一、自动驾驶系统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hd w:val="clear" w:color="auto" w:fill="FFFFFF"/>
              </w:rPr>
            </w:pPr>
            <w:r>
              <w:rPr>
                <w:sz w:val="21"/>
                <w:szCs w:val="21"/>
              </w:rPr>
              <w:t>注：</w:t>
            </w:r>
            <w:r>
              <w:rPr>
                <w:rFonts w:hint="eastAsia"/>
                <w:sz w:val="21"/>
                <w:szCs w:val="21"/>
              </w:rPr>
              <w:t>需提供设备自动驾驶系统的版本、详细功能等信息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hd w:val="clear" w:color="auto" w:fill="FFFFFF"/>
              </w:rPr>
            </w:pPr>
            <w:r>
              <w:rPr>
                <w:rFonts w:hint="eastAsia" w:ascii="仿宋_GB2312" w:hAnsi="微软雅黑"/>
                <w:color w:val="333333"/>
                <w:sz w:val="21"/>
                <w:szCs w:val="21"/>
                <w:shd w:val="clear" w:color="auto" w:fill="FFFFFF"/>
              </w:rPr>
              <w:t>十二、其他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vAlign w:val="center"/>
          </w:tcPr>
          <w:p>
            <w:pPr>
              <w:widowControl/>
              <w:spacing w:line="240" w:lineRule="auto"/>
              <w:ind w:firstLine="0" w:firstLineChars="0"/>
              <w:rPr>
                <w:rFonts w:hint="eastAsia" w:ascii="仿宋_GB2312" w:hAnsi="微软雅黑"/>
                <w:color w:val="333333"/>
                <w:sz w:val="21"/>
                <w:szCs w:val="21"/>
                <w:shd w:val="clear" w:color="auto" w:fill="FFFFFF"/>
              </w:rPr>
            </w:pPr>
            <w:r>
              <w:rPr>
                <w:rFonts w:hint="eastAsia" w:ascii="仿宋_GB2312" w:hAnsi="微软雅黑"/>
                <w:color w:val="333333"/>
                <w:sz w:val="21"/>
                <w:szCs w:val="21"/>
                <w:shd w:val="clear" w:color="auto" w:fill="FFFFFF"/>
              </w:rPr>
              <w:t>注：其他必要补充材料</w:t>
            </w:r>
          </w:p>
        </w:tc>
      </w:tr>
    </w:tbl>
    <w:p>
      <w:pPr>
        <w:widowControl/>
        <w:spacing w:line="240" w:lineRule="auto"/>
        <w:ind w:firstLine="0" w:firstLineChars="0"/>
        <w:jc w:val="center"/>
        <w:rPr>
          <w:rFonts w:ascii="黑体" w:hAnsi="黑体" w:eastAsia="黑体" w:cs="Times New Roman"/>
          <w:color w:val="000000"/>
          <w:kern w:val="0"/>
          <w:sz w:val="36"/>
          <w:szCs w:val="36"/>
          <w14:ligatures w14:val="none"/>
        </w:rPr>
        <w:sectPr>
          <w:pgSz w:w="11906" w:h="16838"/>
          <w:pgMar w:top="1440" w:right="1800" w:bottom="1440" w:left="1800" w:header="851" w:footer="992" w:gutter="0"/>
          <w:cols w:space="425" w:num="1"/>
          <w:docGrid w:type="lines" w:linePitch="312" w:charSpace="0"/>
        </w:sectPr>
      </w:pPr>
    </w:p>
    <w:p>
      <w:pPr>
        <w:widowControl/>
        <w:spacing w:line="240" w:lineRule="auto"/>
        <w:ind w:firstLine="0" w:firstLineChars="0"/>
        <w:rPr>
          <w:rFonts w:ascii="黑体" w:hAnsi="黑体" w:eastAsia="黑体" w:cs="Times New Roman"/>
          <w:color w:val="000000"/>
          <w:kern w:val="0"/>
          <w:szCs w:val="32"/>
          <w14:ligatures w14:val="none"/>
        </w:rPr>
      </w:pPr>
      <w:r>
        <w:rPr>
          <w:rFonts w:hint="eastAsia" w:ascii="黑体" w:hAnsi="黑体" w:eastAsia="黑体" w:cs="Times New Roman"/>
          <w:color w:val="000000"/>
          <w:kern w:val="0"/>
          <w:szCs w:val="32"/>
          <w14:ligatures w14:val="none"/>
        </w:rPr>
        <w:t>附件3</w:t>
      </w:r>
    </w:p>
    <w:p>
      <w:pPr>
        <w:widowControl/>
        <w:spacing w:line="240" w:lineRule="auto"/>
        <w:ind w:firstLine="0" w:firstLineChars="0"/>
        <w:jc w:val="center"/>
        <w:rPr>
          <w:rFonts w:ascii="黑体" w:hAnsi="黑体" w:eastAsia="黑体" w:cs="Times New Roman"/>
          <w:color w:val="000000"/>
          <w:kern w:val="0"/>
          <w:sz w:val="36"/>
          <w:szCs w:val="36"/>
          <w14:ligatures w14:val="none"/>
        </w:rPr>
      </w:pPr>
      <w:r>
        <w:rPr>
          <w:rFonts w:hint="eastAsia" w:ascii="黑体" w:hAnsi="黑体" w:eastAsia="黑体" w:cs="Times New Roman"/>
          <w:color w:val="000000"/>
          <w:kern w:val="0"/>
          <w:sz w:val="36"/>
          <w:szCs w:val="36"/>
          <w14:ligatures w14:val="none"/>
        </w:rPr>
        <w:t>商业化试点信息变更表</w:t>
      </w:r>
    </w:p>
    <w:p>
      <w:pPr>
        <w:widowControl/>
        <w:ind w:firstLine="0" w:firstLineChars="0"/>
        <w:jc w:val="left"/>
        <w:rPr>
          <w:rFonts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1.商业化试点主体名称：</w:t>
      </w:r>
    </w:p>
    <w:p>
      <w:pPr>
        <w:widowControl/>
        <w:ind w:firstLine="0" w:firstLineChars="0"/>
        <w:jc w:val="left"/>
        <w:rPr>
          <w:rFonts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2.商业化试点主体类型：</w:t>
      </w:r>
    </w:p>
    <w:p>
      <w:pPr>
        <w:widowControl/>
        <w:ind w:firstLine="0" w:firstLineChars="0"/>
        <w:jc w:val="left"/>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□整车厂           □系统运营商      □零部件制造商</w:t>
      </w:r>
    </w:p>
    <w:p>
      <w:pPr>
        <w:widowControl/>
        <w:ind w:firstLine="0" w:firstLineChars="0"/>
        <w:jc w:val="left"/>
        <w:rPr>
          <w:rFonts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□互联网服务商     □科研院所/高校   □其他</w:t>
      </w:r>
    </w:p>
    <w:p>
      <w:pPr>
        <w:widowControl/>
        <w:ind w:firstLine="0" w:firstLineChars="0"/>
        <w:jc w:val="left"/>
        <w:rPr>
          <w:rFonts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3.商业化试点主体联系地址：</w:t>
      </w:r>
    </w:p>
    <w:p>
      <w:pPr>
        <w:widowControl/>
        <w:ind w:firstLine="0" w:firstLineChars="0"/>
        <w:jc w:val="left"/>
        <w:rPr>
          <w:rFonts w:hint="eastAsia"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4.商业化试点主体联系人：          联系电话：</w:t>
      </w:r>
    </w:p>
    <w:p>
      <w:pPr>
        <w:widowControl/>
        <w:ind w:firstLine="0" w:firstLineChars="0"/>
        <w:jc w:val="left"/>
        <w:rPr>
          <w:rFonts w:hint="eastAsia"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5.商业化试点智能网联汽车信息变更表：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临时行驶标识编码</w:t>
            </w:r>
          </w:p>
        </w:tc>
        <w:tc>
          <w:tcPr>
            <w:tcW w:w="5437" w:type="dxa"/>
          </w:tcPr>
          <w:p>
            <w:pPr>
              <w:widowControl/>
              <w:ind w:firstLine="0" w:firstLineChars="0"/>
              <w:jc w:val="left"/>
              <w:rPr>
                <w:rFonts w:hint="eastAsia" w:ascii="仿宋_GB2312" w:hAnsi="黑体" w:cs="Times New Roman"/>
                <w:color w:val="000000"/>
                <w:kern w:val="0"/>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事故情况</w:t>
            </w:r>
          </w:p>
        </w:tc>
        <w:tc>
          <w:tcPr>
            <w:tcW w:w="5437" w:type="dxa"/>
          </w:tcPr>
          <w:p>
            <w:pPr>
              <w:widowControl/>
              <w:ind w:firstLine="0" w:firstLineChars="0"/>
              <w:jc w:val="left"/>
              <w:rPr>
                <w:rFonts w:hint="eastAsia" w:ascii="仿宋_GB2312" w:hAnsi="黑体" w:cs="Times New Roman"/>
                <w:color w:val="000000"/>
                <w:kern w:val="0"/>
                <w:szCs w:val="32"/>
                <w14:ligatures w14:val="none"/>
              </w:rPr>
            </w:pPr>
            <w:r>
              <w:t>是否有未处理的交通事故：</w:t>
            </w:r>
            <w:r>
              <w:rPr>
                <w:rFonts w:hint="eastAsia" w:ascii="仿宋_GB2312" w:hAnsi="黑体" w:cs="Times New Roman"/>
                <w:color w:val="000000"/>
                <w:kern w:val="0"/>
                <w:szCs w:val="32"/>
                <w14:ligatures w14:val="none"/>
              </w:rPr>
              <w:t>□</w:t>
            </w:r>
            <w:r>
              <w:t xml:space="preserve">是 </w:t>
            </w:r>
            <w:r>
              <w:rPr>
                <w:rFonts w:hint="eastAsia" w:ascii="仿宋_GB2312" w:hAnsi="黑体" w:cs="Times New Roman"/>
                <w:color w:val="000000"/>
                <w:kern w:val="0"/>
                <w:szCs w:val="32"/>
                <w14:ligatures w14:val="none"/>
              </w:rPr>
              <w:t>□</w:t>
            </w: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变更信息</w:t>
            </w:r>
          </w:p>
        </w:tc>
        <w:tc>
          <w:tcPr>
            <w:tcW w:w="5437" w:type="dxa"/>
          </w:tcPr>
          <w:p>
            <w:pPr>
              <w:widowControl/>
              <w:ind w:firstLine="0" w:firstLineChars="0"/>
              <w:jc w:val="left"/>
              <w:rPr>
                <w:rFonts w:hint="eastAsia" w:ascii="仿宋_GB2312" w:hAnsi="黑体" w:cs="Times New Roman"/>
                <w:color w:val="000000"/>
                <w:kern w:val="0"/>
                <w:szCs w:val="32"/>
                <w14:ligatures w14:val="none"/>
              </w:rPr>
            </w:pPr>
          </w:p>
        </w:tc>
      </w:tr>
    </w:tbl>
    <w:p>
      <w:pPr>
        <w:widowControl/>
        <w:ind w:firstLine="0" w:firstLineChars="0"/>
        <w:jc w:val="left"/>
        <w:rPr>
          <w:rFonts w:hint="eastAsia"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6.运行计划信息变更表：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运行周期</w:t>
            </w:r>
          </w:p>
        </w:tc>
        <w:tc>
          <w:tcPr>
            <w:tcW w:w="5720" w:type="dxa"/>
            <w:vAlign w:val="center"/>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运行时段</w:t>
            </w:r>
          </w:p>
        </w:tc>
        <w:tc>
          <w:tcPr>
            <w:tcW w:w="5720" w:type="dxa"/>
          </w:tcPr>
          <w:p>
            <w:pPr>
              <w:widowControl/>
              <w:ind w:firstLine="0" w:firstLineChars="0"/>
              <w:jc w:val="center"/>
              <w:rPr>
                <w:rFonts w:hint="eastAsia" w:ascii="仿宋_GB2312" w:hAnsi="黑体" w:cs="Times New Roman"/>
                <w:color w:val="000000"/>
                <w:kern w:val="0"/>
                <w:szCs w:val="32"/>
                <w14:ligatures w14:val="none"/>
              </w:rPr>
            </w:pPr>
            <w:r>
              <w:rPr>
                <w:rFonts w:hint="eastAsia"/>
              </w:rPr>
              <w:t>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运行区域</w:t>
            </w:r>
          </w:p>
        </w:tc>
        <w:tc>
          <w:tcPr>
            <w:tcW w:w="5720" w:type="dxa"/>
          </w:tcPr>
          <w:p>
            <w:pPr>
              <w:widowControl/>
              <w:ind w:firstLine="0" w:firstLineChars="0"/>
              <w:jc w:val="left"/>
              <w:rPr>
                <w:rFonts w:hint="eastAsia" w:ascii="仿宋_GB2312" w:hAnsi="黑体" w:cs="Times New Roman"/>
                <w:color w:val="000000"/>
                <w:kern w:val="0"/>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运行路段</w:t>
            </w:r>
          </w:p>
        </w:tc>
        <w:tc>
          <w:tcPr>
            <w:tcW w:w="5720" w:type="dxa"/>
          </w:tcPr>
          <w:p>
            <w:pPr>
              <w:widowControl/>
              <w:ind w:firstLine="0" w:firstLineChars="0"/>
              <w:jc w:val="left"/>
              <w:rPr>
                <w:rFonts w:hint="eastAsia" w:ascii="仿宋_GB2312" w:hAnsi="黑体" w:cs="Times New Roman"/>
                <w:color w:val="000000"/>
                <w:kern w:val="0"/>
                <w:szCs w:val="32"/>
                <w14:ligatures w14:val="none"/>
              </w:rPr>
            </w:pPr>
          </w:p>
        </w:tc>
      </w:tr>
    </w:tbl>
    <w:p>
      <w:pPr>
        <w:widowControl/>
        <w:ind w:firstLine="0" w:firstLineChars="0"/>
        <w:jc w:val="left"/>
        <w:rPr>
          <w:rFonts w:hint="eastAsia"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7.商业化试点方案信息变更表：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802" w:type="dxa"/>
            <w:vAlign w:val="center"/>
          </w:tcPr>
          <w:p>
            <w:pPr>
              <w:widowControl/>
              <w:ind w:firstLine="0" w:firstLineChars="0"/>
              <w:jc w:val="center"/>
              <w:rPr>
                <w:rFonts w:hint="eastAsia" w:ascii="仿宋_GB2312" w:hAnsi="黑体" w:cs="Times New Roman"/>
                <w:color w:val="000000"/>
                <w:kern w:val="0"/>
                <w:szCs w:val="32"/>
                <w14:ligatures w14:val="none"/>
              </w:rPr>
            </w:pPr>
            <w:r>
              <w:rPr>
                <w:rFonts w:hint="eastAsia" w:ascii="仿宋_GB2312" w:hAnsi="黑体" w:cs="Times New Roman"/>
                <w:color w:val="000000"/>
                <w:kern w:val="0"/>
                <w:szCs w:val="32"/>
                <w14:ligatures w14:val="none"/>
              </w:rPr>
              <w:t>变更信息</w:t>
            </w:r>
          </w:p>
        </w:tc>
        <w:tc>
          <w:tcPr>
            <w:tcW w:w="5720" w:type="dxa"/>
            <w:vAlign w:val="center"/>
          </w:tcPr>
          <w:p>
            <w:pPr>
              <w:widowControl/>
              <w:ind w:firstLine="0" w:firstLineChars="0"/>
              <w:jc w:val="center"/>
              <w:rPr>
                <w:rFonts w:hint="eastAsia" w:ascii="仿宋_GB2312" w:hAnsi="黑体" w:cs="Times New Roman"/>
                <w:color w:val="000000"/>
                <w:kern w:val="0"/>
                <w:szCs w:val="32"/>
                <w14:ligatures w14:val="none"/>
              </w:rPr>
            </w:pPr>
          </w:p>
        </w:tc>
      </w:tr>
    </w:tbl>
    <w:p>
      <w:pPr>
        <w:widowControl/>
        <w:ind w:firstLine="0" w:firstLineChars="0"/>
        <w:jc w:val="left"/>
        <w:rPr>
          <w:rFonts w:hint="eastAsia"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8.商业化试点主体承诺：</w:t>
      </w:r>
    </w:p>
    <w:p>
      <w:pPr>
        <w:widowControl/>
        <w:ind w:firstLine="643"/>
        <w:jc w:val="left"/>
        <w:rPr>
          <w:rFonts w:ascii="仿宋_GB2312" w:hAnsi="黑体" w:cs="Times New Roman"/>
          <w:b/>
          <w:bCs/>
          <w:color w:val="000000"/>
          <w:kern w:val="0"/>
          <w:szCs w:val="32"/>
          <w14:ligatures w14:val="none"/>
        </w:rPr>
      </w:pPr>
      <w:r>
        <w:rPr>
          <w:rFonts w:hint="eastAsia" w:ascii="仿宋_GB2312" w:hAnsi="黑体" w:cs="Times New Roman"/>
          <w:b/>
          <w:bCs/>
          <w:color w:val="000000"/>
          <w:kern w:val="0"/>
          <w:szCs w:val="32"/>
          <w14:ligatures w14:val="none"/>
        </w:rPr>
        <w:t>本单位所提交的材料真实有效，愿意承担相关法律责任。</w:t>
      </w: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ind w:firstLine="643"/>
        <w:jc w:val="left"/>
        <w:rPr>
          <w:rFonts w:ascii="仿宋_GB2312" w:hAnsi="黑体" w:cs="Times New Roman"/>
          <w:b/>
          <w:bCs/>
          <w:color w:val="000000"/>
          <w:kern w:val="0"/>
          <w:szCs w:val="32"/>
          <w14:ligatures w14:val="none"/>
        </w:rPr>
      </w:pPr>
    </w:p>
    <w:p>
      <w:pPr>
        <w:widowControl/>
        <w:spacing w:line="240" w:lineRule="auto"/>
        <w:ind w:firstLine="0" w:firstLineChars="0"/>
        <w:rPr>
          <w:rFonts w:hint="eastAsia"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法定代表人签字（签章）：</w:t>
      </w:r>
    </w:p>
    <w:p>
      <w:pPr>
        <w:widowControl/>
        <w:spacing w:line="240" w:lineRule="auto"/>
        <w:ind w:firstLine="640"/>
        <w:rPr>
          <w:rFonts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单位公章：</w:t>
      </w:r>
    </w:p>
    <w:p>
      <w:pPr>
        <w:widowControl/>
        <w:spacing w:line="240" w:lineRule="auto"/>
        <w:ind w:firstLine="2880" w:firstLineChars="900"/>
        <w:rPr>
          <w:rFonts w:ascii="仿宋_GB2312" w:cs="Times New Roman"/>
          <w:kern w:val="0"/>
          <w:szCs w:val="32"/>
        </w:rPr>
      </w:pPr>
    </w:p>
    <w:p>
      <w:pPr>
        <w:widowControl/>
        <w:spacing w:line="240" w:lineRule="auto"/>
        <w:ind w:firstLine="2880" w:firstLineChars="900"/>
        <w:rPr>
          <w:rFonts w:ascii="仿宋_GB2312" w:cs="Times New Roman"/>
          <w:kern w:val="0"/>
          <w:szCs w:val="32"/>
        </w:rPr>
      </w:pPr>
    </w:p>
    <w:p>
      <w:pPr>
        <w:widowControl/>
        <w:spacing w:line="240" w:lineRule="auto"/>
        <w:ind w:firstLine="2880" w:firstLineChars="900"/>
        <w:rPr>
          <w:rFonts w:hint="eastAsia" w:ascii="仿宋_GB2312" w:cs="Times New Roman"/>
          <w:kern w:val="0"/>
          <w:szCs w:val="32"/>
        </w:rPr>
      </w:pPr>
    </w:p>
    <w:p>
      <w:pPr>
        <w:widowControl/>
        <w:spacing w:line="240" w:lineRule="auto"/>
        <w:ind w:firstLine="2880" w:firstLineChars="900"/>
        <w:rPr>
          <w:rFonts w:ascii="仿宋_GB2312" w:cs="Times New Roman"/>
          <w:kern w:val="0"/>
          <w:szCs w:val="32"/>
        </w:rPr>
      </w:pPr>
      <w:r>
        <w:rPr>
          <w:rFonts w:hint="eastAsia" w:ascii="仿宋_GB2312" w:cs="Times New Roman"/>
          <w:kern w:val="0"/>
          <w:szCs w:val="32"/>
        </w:rPr>
        <w:t xml:space="preserve">                  年    月    日</w:t>
      </w:r>
    </w:p>
    <w:p>
      <w:pPr>
        <w:widowControl/>
        <w:ind w:firstLine="643"/>
        <w:jc w:val="left"/>
        <w:rPr>
          <w:rFonts w:hint="eastAsia" w:ascii="仿宋_GB2312" w:hAnsi="黑体" w:cs="Times New Roman"/>
          <w:b/>
          <w:bCs/>
          <w:color w:val="000000"/>
          <w:kern w:val="0"/>
          <w:szCs w:val="32"/>
          <w14:ligatures w14: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04AC4E-3160-429E-AC0C-C4877F2C90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44588FDA-E197-4BCA-B38D-8ED5E4361E0E}"/>
  </w:font>
  <w:font w:name="仿宋_GB2312">
    <w:panose1 w:val="02010609030101010101"/>
    <w:charset w:val="86"/>
    <w:family w:val="modern"/>
    <w:pitch w:val="default"/>
    <w:sig w:usb0="00000001" w:usb1="080E0000" w:usb2="00000000" w:usb3="00000000" w:csb0="00040000" w:csb1="00000000"/>
    <w:embedRegular r:id="rId3" w:fontKey="{761286F0-7CBC-4FC9-AC2D-D5BBFA378012}"/>
  </w:font>
  <w:font w:name="方正小标宋_GBK">
    <w:panose1 w:val="02000000000000000000"/>
    <w:charset w:val="86"/>
    <w:family w:val="script"/>
    <w:pitch w:val="default"/>
    <w:sig w:usb0="A00002BF" w:usb1="38CF7CFA" w:usb2="00082016" w:usb3="00000000" w:csb0="00040001" w:csb1="00000000"/>
    <w:embedRegular r:id="rId4" w:fontKey="{E5E180CA-33AC-4BB6-8524-16DF77E9C3BF}"/>
  </w:font>
  <w:font w:name="微软雅黑">
    <w:panose1 w:val="020B0503020204020204"/>
    <w:charset w:val="86"/>
    <w:family w:val="swiss"/>
    <w:pitch w:val="default"/>
    <w:sig w:usb0="80000287" w:usb1="280F3C52" w:usb2="00000016" w:usb3="00000000" w:csb0="0004001F" w:csb1="00000000"/>
    <w:embedRegular r:id="rId5" w:fontKey="{4CEC1555-AF3C-44FA-8E8B-9F898D9E3A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zJjYzc1ODA1MmIwYmVkNjNmYmM4Yjc4NDA0ZmUxYjgifQ=="/>
  </w:docVars>
  <w:rsids>
    <w:rsidRoot w:val="00D21328"/>
    <w:rsid w:val="0006283E"/>
    <w:rsid w:val="00063C52"/>
    <w:rsid w:val="00077AEB"/>
    <w:rsid w:val="000838BF"/>
    <w:rsid w:val="000C39B9"/>
    <w:rsid w:val="000E206D"/>
    <w:rsid w:val="00140047"/>
    <w:rsid w:val="00154367"/>
    <w:rsid w:val="001834CE"/>
    <w:rsid w:val="00186DCF"/>
    <w:rsid w:val="001B5069"/>
    <w:rsid w:val="001D6D25"/>
    <w:rsid w:val="0027238B"/>
    <w:rsid w:val="002A0CD5"/>
    <w:rsid w:val="002B1AFC"/>
    <w:rsid w:val="002D2FC1"/>
    <w:rsid w:val="002E7B26"/>
    <w:rsid w:val="00311699"/>
    <w:rsid w:val="00312B5E"/>
    <w:rsid w:val="0037057D"/>
    <w:rsid w:val="003846F3"/>
    <w:rsid w:val="00385A43"/>
    <w:rsid w:val="003B3E48"/>
    <w:rsid w:val="003C3BB1"/>
    <w:rsid w:val="003F5EBD"/>
    <w:rsid w:val="003F77D4"/>
    <w:rsid w:val="0041397E"/>
    <w:rsid w:val="00446BB3"/>
    <w:rsid w:val="00451FD6"/>
    <w:rsid w:val="004A4983"/>
    <w:rsid w:val="004B03B1"/>
    <w:rsid w:val="004B4D8A"/>
    <w:rsid w:val="004E042E"/>
    <w:rsid w:val="00515A6E"/>
    <w:rsid w:val="0053493C"/>
    <w:rsid w:val="005828B2"/>
    <w:rsid w:val="005832E5"/>
    <w:rsid w:val="0059471A"/>
    <w:rsid w:val="005A100D"/>
    <w:rsid w:val="005B631A"/>
    <w:rsid w:val="006555A2"/>
    <w:rsid w:val="0067615D"/>
    <w:rsid w:val="006B5C0F"/>
    <w:rsid w:val="006E51AF"/>
    <w:rsid w:val="006F517A"/>
    <w:rsid w:val="007019A7"/>
    <w:rsid w:val="0071407B"/>
    <w:rsid w:val="00764F49"/>
    <w:rsid w:val="007D3605"/>
    <w:rsid w:val="007E38E9"/>
    <w:rsid w:val="007F321C"/>
    <w:rsid w:val="007F554A"/>
    <w:rsid w:val="007F5B86"/>
    <w:rsid w:val="00831762"/>
    <w:rsid w:val="00841D6B"/>
    <w:rsid w:val="00861194"/>
    <w:rsid w:val="00873153"/>
    <w:rsid w:val="008731B3"/>
    <w:rsid w:val="008B3A03"/>
    <w:rsid w:val="008B694A"/>
    <w:rsid w:val="008C1E35"/>
    <w:rsid w:val="008D6B4B"/>
    <w:rsid w:val="00980F13"/>
    <w:rsid w:val="009E013F"/>
    <w:rsid w:val="009E1476"/>
    <w:rsid w:val="00A53AC9"/>
    <w:rsid w:val="00A6259D"/>
    <w:rsid w:val="00A83B14"/>
    <w:rsid w:val="00AC386D"/>
    <w:rsid w:val="00AE521E"/>
    <w:rsid w:val="00B07FEE"/>
    <w:rsid w:val="00B163ED"/>
    <w:rsid w:val="00B33071"/>
    <w:rsid w:val="00B723FB"/>
    <w:rsid w:val="00B75CC9"/>
    <w:rsid w:val="00B87568"/>
    <w:rsid w:val="00B978D0"/>
    <w:rsid w:val="00BF0B7A"/>
    <w:rsid w:val="00C419E3"/>
    <w:rsid w:val="00C65504"/>
    <w:rsid w:val="00C860B3"/>
    <w:rsid w:val="00CB62A1"/>
    <w:rsid w:val="00CC44F9"/>
    <w:rsid w:val="00CD7FD3"/>
    <w:rsid w:val="00CE4AB6"/>
    <w:rsid w:val="00CE5976"/>
    <w:rsid w:val="00CE6D8A"/>
    <w:rsid w:val="00CF44DA"/>
    <w:rsid w:val="00D068D2"/>
    <w:rsid w:val="00D11CF8"/>
    <w:rsid w:val="00D177D0"/>
    <w:rsid w:val="00D21328"/>
    <w:rsid w:val="00D27472"/>
    <w:rsid w:val="00D428C2"/>
    <w:rsid w:val="00D47EAA"/>
    <w:rsid w:val="00D80916"/>
    <w:rsid w:val="00D9426F"/>
    <w:rsid w:val="00E062E3"/>
    <w:rsid w:val="00E16FCE"/>
    <w:rsid w:val="00E30514"/>
    <w:rsid w:val="00E61F9E"/>
    <w:rsid w:val="00EB63C5"/>
    <w:rsid w:val="00F01731"/>
    <w:rsid w:val="00F15BC6"/>
    <w:rsid w:val="00F3129C"/>
    <w:rsid w:val="00F52D60"/>
    <w:rsid w:val="00F80390"/>
    <w:rsid w:val="00F84371"/>
    <w:rsid w:val="00F90B5D"/>
    <w:rsid w:val="00FF35DD"/>
    <w:rsid w:val="013F711E"/>
    <w:rsid w:val="7F5B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3"/>
    <w:autoRedefine/>
    <w:qFormat/>
    <w:uiPriority w:val="9"/>
    <w:pPr>
      <w:keepNext/>
      <w:keepLines/>
      <w:ind w:firstLine="0" w:firstLineChars="0"/>
      <w:jc w:val="center"/>
      <w:outlineLvl w:val="0"/>
    </w:pPr>
    <w:rPr>
      <w:rFonts w:eastAsia="方正小标宋_GBK"/>
      <w:bCs/>
      <w:kern w:val="44"/>
      <w:sz w:val="36"/>
      <w:szCs w:val="44"/>
    </w:rPr>
  </w:style>
  <w:style w:type="paragraph" w:styleId="3">
    <w:name w:val="heading 2"/>
    <w:basedOn w:val="1"/>
    <w:next w:val="1"/>
    <w:link w:val="14"/>
    <w:autoRedefine/>
    <w:unhideWhenUsed/>
    <w:qFormat/>
    <w:uiPriority w:val="9"/>
    <w:pPr>
      <w:keepNext/>
      <w:keepLines/>
      <w:ind w:firstLine="0" w:firstLineChars="0"/>
      <w:jc w:val="center"/>
      <w:outlineLvl w:val="1"/>
    </w:pPr>
    <w:rPr>
      <w:rFonts w:eastAsia="黑体" w:cstheme="majorBidi"/>
      <w:bCs/>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1 字符"/>
    <w:basedOn w:val="9"/>
    <w:link w:val="2"/>
    <w:autoRedefine/>
    <w:qFormat/>
    <w:uiPriority w:val="9"/>
    <w:rPr>
      <w:rFonts w:ascii="Times New Roman" w:hAnsi="Times New Roman" w:eastAsia="方正小标宋_GBK"/>
      <w:bCs/>
      <w:kern w:val="44"/>
      <w:sz w:val="36"/>
      <w:szCs w:val="44"/>
    </w:rPr>
  </w:style>
  <w:style w:type="character" w:customStyle="1" w:styleId="14">
    <w:name w:val="标题 2 字符"/>
    <w:basedOn w:val="9"/>
    <w:link w:val="3"/>
    <w:autoRedefine/>
    <w:qFormat/>
    <w:uiPriority w:val="9"/>
    <w:rPr>
      <w:rFonts w:ascii="Times New Roman" w:hAnsi="Times New Roman" w:eastAsia="黑体" w:cstheme="majorBidi"/>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7FD4-C926-4A1E-A5F9-86CD2A444C3B}">
  <ds:schemaRefs/>
</ds:datastoreItem>
</file>

<file path=docProps/app.xml><?xml version="1.0" encoding="utf-8"?>
<Properties xmlns="http://schemas.openxmlformats.org/officeDocument/2006/extended-properties" xmlns:vt="http://schemas.openxmlformats.org/officeDocument/2006/docPropsVTypes">
  <Template>Normal</Template>
  <Pages>16</Pages>
  <Words>884</Words>
  <Characters>5044</Characters>
  <Lines>42</Lines>
  <Paragraphs>11</Paragraphs>
  <TotalTime>1</TotalTime>
  <ScaleCrop>false</ScaleCrop>
  <LinksUpToDate>false</LinksUpToDate>
  <CharactersWithSpaces>5917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2024-04-25T03:28:00Z</dcterms:created>
  <dc:creator>睿 王</dc:creator>
  <cp:lastModifiedBy>尹勇</cp:lastModifiedBy>
  <cp:lastPrinted>2024-05-23T06:44:07Z</cp:lastPrinted>
  <dcterms:modified xsi:type="dcterms:W3CDTF">2024-05-23T06:44:10Z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33E914BAF7C84853AB2EDBAC846BE722_12</vt:lpwstr>
  </property>
</Properties>
</file>