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  <w:bdr w:val="none" w:color="auto" w:sz="0" w:space="0"/>
          <w:shd w:val="clear" w:fill="FFFFFF"/>
        </w:rPr>
        <w:t>工信部等三部门进一步完善首台（套）重大技术装备首批次新材料保险补偿政策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为深入贯彻党中央、国务院关于推进制造强国建设的战略决策，落实中央金融工作会议和全国新型工业化推进大会精神，加快推动重大技术装备和新材料产业高质量发展，工业</w:t>
      </w:r>
      <w:bookmarkStart w:id="0" w:name="_GoBack"/>
      <w:bookmarkEnd w:id="0"/>
      <w:r>
        <w:rPr>
          <w:rFonts w:hint="eastAsia"/>
          <w:sz w:val="24"/>
          <w:szCs w:val="24"/>
        </w:rPr>
        <w:t>和信息化部、财政部、金融监管总局等三部门近日联合印发《关于进一步完善首台（套）重大技术装备首批次新材料保险补偿政策的意见》。明确将聚焦国家重点支持领域，坚持问题导向、结果导向、目标导向，推动首台（套）重大技术装备、首批次新材料创新发展和推广应用。《意见》从明确政策支持范围、优化政策制度设计、强化政策监督管理等三个方面提出了九条工作举措，自发布之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关于进一步完善首台（套）重大技术装备首批次新材料保险补偿政策的意见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工信部联重装〔2024〕89号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各省、自治区、直辖市、新疆生产建设兵团工业和信息化、财政主管部门，各地金融监督管理局，有关中央企业：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深入贯彻党中央、国务院关于推进制造强国建设的战略决策，落实中央金融工作会议和全国新型工业化推进大会精神，加快推动重大技术装备和新材料产业高质量发展，现就进一步优化完善保险补偿政策提出以下意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习近平新时代中国特色社会主义思想为指导，深入贯彻党的二十大精神，完整、准确、全面贯彻新发展理念，加快构建新发展格局，着力推动高质量发展，统筹发展和安全，聚焦国家重点支持领域，坚持问题导向、结果导向、目标导向，推动首台（套）重大技术装备、首批次新材料〔以下简称首台（套）、首批次〕创新发展和推广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突出应用牵引作用，明确政策定位。拓展首台（套）、首批次概念内涵，聚焦国家重大战略需求，扩展支持数量和年限，增强用户信心，以应用带动首台（套）、首批次迭代更新、实现批量稳定生产、形成成本竞争优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突出保险保障作用，优化制度设计。推动首台（套）、首批次保险扩大保障范围、提升服务水平，通过保险风险管理的制度设计，破解初期市场信任不足导致的应用瓶颈。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突出财政资金效能，严格申报审核。规范申报程序，严格审核标准，稳定各方预期，加强总结评估，及时完善政策，有效提升政策精准性、实效性，切实发挥财政资金作用。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突出事前事后监管，加强监督管理。压实各实施主体责任，加强规范指导，开展绩效评价，强化执纪问责，有效提升政策执行制度化、规范化水平，更好保障财政资金安全。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二、明确政策支持范围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加快首台（套）推广应用。首台（套）重大技术装备是指国内实现显著技术突破，拥有自主知识产权，进入市场初期尚未形成竞争优势的整机装备、核心系统及关键零部件产品。装备可按照台（套）数或批次数予以投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（二）加快首批次推广应用。首批次新材料是指国内实现原始创新或显著技术突破，拥有自主知识产权，进入市场初期尚未形成规模化应用和竞争优势的新材料产品。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重点支持国家战略领域。聚焦制造业重点产业链创新成果，聚焦国家重大战略发展需求，聚焦国家重大项目建设需要，以《首台（套）重大技术装备推广应用指导目录》《重点新材料首批次应用示范指导目录》（以下统称《目录》）中装备、新材料产品为基础，重点支持国家战略且质量风险大的领域，动态调整支持范围、补助额度和补贴比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三、优化政策制度设计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（四）明确资格审定机制。采取“先资格审定、后资金申请”的方式。首先确定首台（套）、首批次资格，明确资格有效的年限，并按装备、新材料产品价值一定比例计算保费补助资金额度上限。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五）调整资金申请机制。根据生产制造企业的资格审定、投保、装备和新材料交付、保费实际缴纳及当年财政预算额度情况，严格审核确定应拨付补助资金。对于已投保质量保障类保险的首台（套）、首批次，一般不再收取质量保证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六）提升保险保障支持。聚焦生产企业推广应用及迭代更新阶段面临的主要风险，拓展适用保险险种，为首台（套）、首批次提供综合保险保障方案。支持生产制造单位根据装备、新材料产品特性和实际需要，在政策框架下自主决定投保险种、投保数量和投保年限。保险公司按照“保本微利”与“精算平衡”原则，定期开展保险费率回溯和动态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四、强化政策监督管理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七）依法依规投保承保。生产制造单位、保险公司、用户单位等应严格遵守国家法律法规和相关政策规定，在保险补偿项目资格申报、资金申请、资金使用、承保理赔等方面加强业务管控，确保相关材料真实、完整、有效，相关工作合法合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八）切实加强规范指导。工业和信息化部做好《目录》动态调整、项目组织审核等工作，财政部按规定及时分配和拨付补助资金，金融监管总局负责保险市场监督管理。地方相关部门、中央企业做好项目审核、推荐工作。工业和信息化部、财政部、金融监管总局加强政策评估、绩效评价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九）强化政策执纪问责。生产制造单位、保险公司、用户单位存在通过提供虚假申报材料、虚假理赔等方式骗补骗保，以及其他弄虚作假等违法违纪行为的，应当按照有关规定追究相应责任，收缴财政资金，涉嫌犯罪的移送司法机关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意见自发布之日起执行。此前印发的《关于开展首台（套）重大技术装备保险补偿机制试点工作的通知》（财建〔2015〕19号）、《关于深入做好首台（套）重大技术装备保险补偿机制试点工作的通知》（财办建〔2018〕35号）、《关于进一步深入推进首台（套）重大技术装备保险补偿机制试点工作的通知》（财建〔2019〕225号）、《关于开展重点新材料首批次应用保险补偿机制试点工作的通知》（工信部联原〔2017〕222号）等文件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工业和信息化部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财政部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金融监管总局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2024年5月24日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TUzN2E2Y2Y0YWZhZWQ1YTJkYjZkZmQzNzc1ZjkifQ=="/>
  </w:docVars>
  <w:rsids>
    <w:rsidRoot w:val="5F52248C"/>
    <w:rsid w:val="5F5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2024-06-05T09:50:00Z</dcterms:created>
  <dc:creator>13096</dc:creator>
  <cp:lastModifiedBy>13096</cp:lastModifiedBy>
  <dcterms:modified xsi:type="dcterms:W3CDTF">2024-06-05T09:53:00Z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8C7FA941613342119129C6056980058B_11</vt:lpwstr>
  </property>
</Properties>
</file>