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spacing w:before="340" w:beforeAutospacing="0" w:after="330" w:afterAutospacing="0" w:line="576" w:lineRule="auto"/>
        <w:ind w:left="198" w:right="0"/>
        <w:jc w:val="both"/>
        <w:rPr>
          <w:rFonts w:hint="eastAsia" w:ascii="宋体" w:hAnsi="宋体" w:eastAsia="宋体" w:cs="宋体"/>
          <w:b/>
          <w:bCs/>
          <w:kern w:val="44"/>
          <w:sz w:val="48"/>
          <w:szCs w:val="48"/>
        </w:rPr>
      </w:pPr>
      <w:r>
        <w:rPr>
          <w:rFonts w:hint="default" w:ascii="Times New Roman" w:hAnsi="Times New Roman" w:eastAsia="宋体" w:cs="Times New Roman"/>
          <w:b/>
          <w:bCs/>
          <w:kern w:val="44"/>
          <w:sz w:val="32"/>
          <w:szCs w:val="32"/>
        </w:rPr>
        <w:t xml:space="preserve"> </w:t>
      </w:r>
    </w:p>
    <w:p>
      <w:pPr>
        <w:spacing w:before="0" w:beforeAutospacing="1" w:after="0" w:afterAutospacing="1"/>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spacing w:before="0" w:beforeAutospacing="0" w:after="120" w:afterAutospacing="0"/>
        <w:ind w:left="42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spacing w:before="0" w:beforeAutospacing="0" w:after="120" w:afterAutospacing="0"/>
        <w:ind w:left="42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spacing w:before="0" w:beforeAutospacing="0" w:after="120" w:afterAutospacing="0"/>
        <w:ind w:left="42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spacing w:before="0" w:beforeAutospacing="0" w:after="120" w:afterAutospacing="0"/>
        <w:ind w:left="42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spacing w:before="0" w:beforeAutospacing="0" w:after="120" w:afterAutospacing="0"/>
        <w:ind w:left="420" w:righ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p>
    <w:p>
      <w:pPr>
        <w:keepNext/>
        <w:spacing w:before="0" w:beforeAutospacing="1" w:after="0" w:afterAutospacing="1"/>
        <w:ind w:left="198"/>
        <w:jc w:val="center"/>
        <w:rPr>
          <w:rFonts w:hint="eastAsia" w:ascii="宋体" w:hAnsi="宋体" w:eastAsia="宋体" w:cs="宋体"/>
          <w:kern w:val="0"/>
          <w:sz w:val="24"/>
          <w:szCs w:val="24"/>
        </w:rPr>
      </w:pPr>
      <w:r>
        <w:rPr>
          <w:rFonts w:hint="default" w:ascii="方正小标宋简体" w:hAnsi="方正小标宋简体" w:eastAsia="方正小标宋简体" w:cs="方正小标宋简体"/>
          <w:kern w:val="0"/>
          <w:sz w:val="44"/>
          <w:szCs w:val="44"/>
        </w:rPr>
        <w:t>2022</w:t>
      </w:r>
      <w:r>
        <w:rPr>
          <w:rFonts w:hint="eastAsia" w:ascii="宋体" w:hAnsi="宋体" w:eastAsia="宋体" w:cs="宋体"/>
          <w:kern w:val="0"/>
          <w:sz w:val="44"/>
          <w:szCs w:val="44"/>
        </w:rPr>
        <w:t>年度内蒙古自治区鄂尔多斯市工业和信息化局（本级）单位决算公开</w:t>
      </w:r>
    </w:p>
    <w:p>
      <w:pPr>
        <w:spacing w:before="0" w:beforeAutospacing="1" w:after="0" w:afterAutospacing="1"/>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pStyle w:val="13"/>
        <w:spacing w:after="0" w:afterLines="0" w:afterAutospacing="0" w:line="600" w:lineRule="exact"/>
        <w:ind w:left="0" w:leftChars="0" w:firstLine="0"/>
        <w:jc w:val="center"/>
        <w:rPr>
          <w:rFonts w:hint="eastAsia" w:ascii="黑体" w:hAnsi="宋体" w:eastAsia="黑体" w:cs="黑体"/>
          <w:kern w:val="0"/>
          <w:sz w:val="24"/>
          <w:szCs w:val="24"/>
        </w:rPr>
      </w:pPr>
      <w:r>
        <w:rPr>
          <w:rFonts w:hint="default" w:ascii="Times New Roman" w:hAnsi="Times New Roman" w:eastAsia="宋体" w:cs="Times New Roman"/>
          <w:kern w:val="0"/>
          <w:sz w:val="21"/>
          <w:szCs w:val="21"/>
        </w:rPr>
        <w:t xml:space="preserve">  </w:t>
      </w:r>
      <w:r>
        <w:rPr>
          <w:rFonts w:hint="eastAsia" w:ascii="黑体" w:hAnsi="宋体" w:eastAsia="黑体" w:cs="黑体"/>
          <w:kern w:val="0"/>
          <w:sz w:val="32"/>
          <w:szCs w:val="32"/>
        </w:rPr>
        <w:t>批复时间：</w:t>
      </w:r>
      <w:r>
        <w:rPr>
          <w:rFonts w:hint="eastAsia" w:ascii="黑体" w:hAnsi="宋体" w:eastAsia="黑体" w:cs="黑体"/>
          <w:kern w:val="0"/>
          <w:sz w:val="32"/>
          <w:szCs w:val="32"/>
          <w:u w:val="single"/>
        </w:rPr>
        <w:t>2023年9月11日</w:t>
      </w:r>
    </w:p>
    <w:p>
      <w:pPr>
        <w:pStyle w:val="13"/>
        <w:spacing w:after="0" w:afterLines="0" w:afterAutospacing="0" w:line="600" w:lineRule="exact"/>
        <w:ind w:left="0" w:leftChars="0" w:firstLine="0"/>
        <w:jc w:val="center"/>
        <w:rPr>
          <w:rFonts w:hint="eastAsia" w:ascii="黑体" w:hAnsi="宋体" w:eastAsia="黑体" w:cs="黑体"/>
          <w:kern w:val="0"/>
          <w:sz w:val="24"/>
          <w:szCs w:val="24"/>
        </w:rPr>
      </w:pPr>
      <w:r>
        <w:rPr>
          <w:rFonts w:hint="eastAsia" w:ascii="黑体" w:hAnsi="宋体" w:eastAsia="黑体" w:cs="黑体"/>
          <w:kern w:val="0"/>
          <w:sz w:val="32"/>
          <w:szCs w:val="32"/>
        </w:rPr>
        <w:t>公开时间：</w:t>
      </w:r>
      <w:r>
        <w:rPr>
          <w:rFonts w:hint="eastAsia" w:ascii="黑体" w:hAnsi="宋体" w:eastAsia="黑体" w:cs="黑体"/>
          <w:kern w:val="0"/>
          <w:sz w:val="32"/>
          <w:szCs w:val="32"/>
          <w:u w:val="single"/>
        </w:rPr>
        <w:t>2023年9月26日</w:t>
      </w:r>
    </w:p>
    <w:p>
      <w:pPr>
        <w:pStyle w:val="13"/>
        <w:spacing w:after="0" w:afterLines="0" w:afterAutospacing="0" w:line="600" w:lineRule="exact"/>
        <w:ind w:left="0" w:leftChars="0" w:firstLine="0"/>
        <w:jc w:val="center"/>
        <w:rPr>
          <w:rFonts w:hint="eastAsia" w:ascii="黑体" w:hAnsi="宋体" w:eastAsia="黑体" w:cs="黑体"/>
          <w:kern w:val="0"/>
          <w:sz w:val="24"/>
          <w:szCs w:val="24"/>
        </w:rPr>
      </w:pPr>
      <w:r>
        <w:rPr>
          <w:rFonts w:hint="eastAsia" w:ascii="黑体" w:hAnsi="宋体" w:eastAsia="黑体" w:cs="黑体"/>
          <w:kern w:val="0"/>
          <w:sz w:val="24"/>
          <w:szCs w:val="24"/>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spacing w:before="3" w:beforeAutospacing="0" w:after="120" w:afterAutospacing="0"/>
        <w:ind w:left="0" w:right="0" w:firstLine="200"/>
        <w:jc w:val="both"/>
        <w:rPr>
          <w:rFonts w:hint="eastAsia" w:ascii="宋体" w:hAnsi="宋体" w:eastAsia="宋体" w:cs="宋体"/>
          <w:kern w:val="0"/>
          <w:sz w:val="24"/>
          <w:szCs w:val="24"/>
        </w:rPr>
      </w:pPr>
      <w:r>
        <w:rPr>
          <w:rFonts w:hint="eastAsia" w:ascii="宋体" w:hAnsi="宋体" w:eastAsia="宋体" w:cs="宋体"/>
          <w:kern w:val="0"/>
          <w:sz w:val="32"/>
          <w:szCs w:val="32"/>
        </w:rPr>
        <w:t xml:space="preserve"> </w:t>
      </w:r>
    </w:p>
    <w:p>
      <w:pPr>
        <w:spacing w:before="3" w:beforeAutospacing="0" w:after="120" w:afterAutospacing="0"/>
        <w:ind w:left="0" w:right="0" w:firstLine="200"/>
        <w:jc w:val="both"/>
        <w:rPr>
          <w:rFonts w:hint="eastAsia" w:ascii="宋体" w:hAnsi="宋体" w:eastAsia="宋体" w:cs="宋体"/>
          <w:kern w:val="0"/>
          <w:sz w:val="24"/>
          <w:szCs w:val="24"/>
        </w:rPr>
      </w:pPr>
      <w:r>
        <w:rPr>
          <w:rFonts w:hint="eastAsia" w:ascii="宋体" w:hAnsi="宋体" w:eastAsia="宋体" w:cs="宋体"/>
          <w:color w:val="0000FF"/>
          <w:kern w:val="0"/>
          <w:sz w:val="32"/>
          <w:szCs w:val="32"/>
        </w:rPr>
        <w:t xml:space="preserve"> </w:t>
      </w:r>
    </w:p>
    <w:p>
      <w:pPr>
        <w:spacing w:before="3" w:beforeAutospacing="0" w:after="120" w:afterAutospacing="0"/>
        <w:ind w:left="0" w:right="0" w:firstLine="200"/>
        <w:jc w:val="both"/>
        <w:rPr>
          <w:rFonts w:hint="eastAsia" w:ascii="宋体" w:hAnsi="宋体" w:eastAsia="宋体" w:cs="宋体"/>
          <w:kern w:val="0"/>
          <w:sz w:val="24"/>
          <w:szCs w:val="24"/>
        </w:rPr>
      </w:pPr>
      <w:r>
        <w:rPr>
          <w:rFonts w:hint="eastAsia" w:ascii="宋体" w:hAnsi="宋体" w:eastAsia="宋体" w:cs="宋体"/>
          <w:color w:val="0000FF"/>
          <w:kern w:val="0"/>
          <w:sz w:val="32"/>
          <w:szCs w:val="32"/>
        </w:rPr>
        <w:t xml:space="preserve"> </w:t>
      </w:r>
    </w:p>
    <w:p>
      <w:pPr>
        <w:spacing w:before="3" w:beforeAutospacing="0" w:after="120" w:afterAutospacing="0"/>
        <w:ind w:left="0" w:right="0" w:firstLine="200"/>
        <w:jc w:val="both"/>
        <w:rPr>
          <w:rFonts w:hint="eastAsia" w:ascii="宋体" w:hAnsi="宋体" w:eastAsia="宋体" w:cs="宋体"/>
          <w:kern w:val="0"/>
          <w:sz w:val="24"/>
          <w:szCs w:val="24"/>
        </w:rPr>
      </w:pPr>
      <w:r>
        <w:rPr>
          <w:rFonts w:hint="eastAsia" w:ascii="宋体" w:hAnsi="宋体" w:eastAsia="宋体" w:cs="宋体"/>
          <w:color w:val="0000FF"/>
          <w:kern w:val="0"/>
          <w:sz w:val="32"/>
          <w:szCs w:val="32"/>
        </w:rPr>
        <w:t xml:space="preserve"> </w:t>
      </w:r>
    </w:p>
    <w:p>
      <w:pPr>
        <w:spacing w:before="3" w:beforeAutospacing="0" w:after="120" w:afterAutospacing="0"/>
        <w:ind w:left="0" w:right="0" w:firstLine="200"/>
        <w:jc w:val="both"/>
        <w:rPr>
          <w:rFonts w:hint="eastAsia" w:ascii="宋体" w:hAnsi="宋体" w:eastAsia="宋体" w:cs="宋体"/>
          <w:kern w:val="0"/>
          <w:sz w:val="24"/>
          <w:szCs w:val="24"/>
        </w:rPr>
      </w:pPr>
      <w:r>
        <w:rPr>
          <w:rFonts w:hint="default" w:ascii="Times New Roman" w:hAnsi="Times New Roman" w:eastAsia="宋体" w:cs="Times New Roman"/>
          <w:kern w:val="0"/>
          <w:sz w:val="10"/>
          <w:szCs w:val="10"/>
        </w:rPr>
        <w:t xml:space="preserve"> </w:t>
      </w:r>
    </w:p>
    <w:p>
      <w:pPr>
        <w:spacing w:before="0" w:beforeAutospacing="1" w:after="0" w:afterAutospacing="1"/>
        <w:jc w:val="center"/>
        <w:rPr>
          <w:rFonts w:hint="eastAsia" w:ascii="宋体" w:hAnsi="宋体" w:eastAsia="宋体" w:cs="宋体"/>
          <w:kern w:val="0"/>
          <w:sz w:val="24"/>
          <w:szCs w:val="24"/>
        </w:rPr>
      </w:pPr>
      <w:r>
        <w:rPr>
          <w:rFonts w:hint="eastAsia" w:ascii="宋体" w:hAnsi="宋体" w:eastAsia="宋体" w:cs="宋体"/>
          <w:b/>
          <w:bCs/>
          <w:kern w:val="0"/>
          <w:sz w:val="48"/>
          <w:szCs w:val="48"/>
        </w:rPr>
        <w:t>目</w:t>
      </w:r>
      <w:r>
        <w:rPr>
          <w:rFonts w:hint="default" w:ascii="Times New Roman" w:hAnsi="Times New Roman" w:eastAsia="宋体" w:cs="Times New Roman"/>
          <w:b/>
          <w:bCs/>
          <w:kern w:val="0"/>
          <w:sz w:val="48"/>
          <w:szCs w:val="48"/>
        </w:rPr>
        <w:t xml:space="preserve">  </w:t>
      </w:r>
      <w:r>
        <w:rPr>
          <w:rFonts w:hint="eastAsia" w:ascii="宋体" w:hAnsi="宋体" w:eastAsia="宋体" w:cs="宋体"/>
          <w:b/>
          <w:bCs/>
          <w:kern w:val="0"/>
          <w:sz w:val="48"/>
          <w:szCs w:val="48"/>
        </w:rPr>
        <w:t>录</w:t>
      </w:r>
    </w:p>
    <w:p>
      <w:pPr>
        <w:spacing w:before="0" w:beforeAutospacing="1" w:after="0" w:afterAutospacing="1" w:line="360" w:lineRule="auto"/>
        <w:jc w:val="both"/>
        <w:rPr>
          <w:rFonts w:hint="eastAsia" w:ascii="宋体" w:hAnsi="宋体" w:eastAsia="宋体" w:cs="宋体"/>
          <w:kern w:val="0"/>
          <w:sz w:val="24"/>
          <w:szCs w:val="24"/>
        </w:rPr>
      </w:pPr>
      <w:r>
        <w:rPr>
          <w:rFonts w:hint="eastAsia" w:ascii="黑体" w:hAnsi="宋体" w:eastAsia="黑体" w:cs="黑体"/>
          <w:kern w:val="0"/>
          <w:sz w:val="32"/>
          <w:szCs w:val="32"/>
        </w:rPr>
        <w:t>第一部分 单位概况</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一、主要职能、职责</w:t>
      </w:r>
    </w:p>
    <w:p>
      <w:pPr>
        <w:spacing w:before="6" w:beforeAutospacing="0" w:after="120" w:afterAutospacing="0"/>
        <w:ind w:left="0" w:right="1670"/>
        <w:jc w:val="both"/>
        <w:rPr>
          <w:rFonts w:hint="eastAsia" w:ascii="宋体" w:hAnsi="宋体" w:eastAsia="宋体" w:cs="宋体"/>
          <w:kern w:val="0"/>
          <w:sz w:val="24"/>
          <w:szCs w:val="24"/>
        </w:rPr>
      </w:pPr>
      <w:r>
        <w:rPr>
          <w:rFonts w:hint="eastAsia" w:ascii="宋体" w:hAnsi="宋体" w:eastAsia="宋体" w:cs="宋体"/>
          <w:kern w:val="0"/>
          <w:sz w:val="32"/>
          <w:szCs w:val="32"/>
        </w:rPr>
        <w:t>二、单位机构设置及决算单位构成情况</w:t>
      </w:r>
    </w:p>
    <w:p>
      <w:pPr>
        <w:spacing w:before="0" w:beforeAutospacing="1" w:after="0" w:afterAutospacing="1" w:line="360" w:lineRule="auto"/>
        <w:jc w:val="both"/>
        <w:rPr>
          <w:rFonts w:hint="eastAsia" w:ascii="宋体" w:hAnsi="宋体" w:eastAsia="宋体" w:cs="宋体"/>
          <w:kern w:val="0"/>
          <w:sz w:val="24"/>
          <w:szCs w:val="24"/>
        </w:rPr>
      </w:pPr>
      <w:r>
        <w:rPr>
          <w:rFonts w:hint="eastAsia" w:ascii="黑体" w:hAnsi="宋体" w:eastAsia="黑体" w:cs="黑体"/>
          <w:kern w:val="0"/>
          <w:sz w:val="32"/>
          <w:szCs w:val="32"/>
        </w:rPr>
        <w:t>第二部分 2022年度单位决算情况说明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一、收入支出决算总体情况说明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二、收入决算情况说明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三、支出决算情况说明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四、财政拨款收入支出决算总体情况说明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五、一般公共预算支出决算情况说明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六、一般公共预算基本支出决算情况说明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七、一般公共预算项目支出决算情况说明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八、财政拨款</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三公</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经费支出决算情况说明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九、政府性基金预算财政拨款支出决算情况说明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十、国有资本经营预算财政拨款支出决算情况说明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十一、项目支出决算情况说明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十二、机构运行经费支出决算情况说明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十三、政府采购支出决算情况说明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十四、国有资产占用情况说明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十五、预算绩效情况说明</w:t>
      </w:r>
    </w:p>
    <w:p>
      <w:pPr>
        <w:spacing w:before="0" w:beforeAutospacing="1" w:after="0" w:afterAutospacing="1" w:line="360" w:lineRule="auto"/>
        <w:jc w:val="both"/>
        <w:rPr>
          <w:rFonts w:hint="eastAsia" w:ascii="宋体" w:hAnsi="宋体" w:eastAsia="宋体" w:cs="宋体"/>
          <w:kern w:val="0"/>
          <w:sz w:val="24"/>
          <w:szCs w:val="24"/>
        </w:rPr>
      </w:pPr>
      <w:r>
        <w:rPr>
          <w:rFonts w:hint="eastAsia" w:ascii="黑体" w:hAnsi="宋体" w:eastAsia="黑体" w:cs="黑体"/>
          <w:kern w:val="0"/>
          <w:sz w:val="32"/>
          <w:szCs w:val="32"/>
        </w:rPr>
        <w:t>第三部分 名词解释</w:t>
      </w:r>
    </w:p>
    <w:p>
      <w:pPr>
        <w:spacing w:before="0" w:beforeAutospacing="1" w:after="0" w:afterAutospacing="1" w:line="600" w:lineRule="atLeast"/>
        <w:jc w:val="both"/>
        <w:rPr>
          <w:rFonts w:hint="eastAsia" w:ascii="宋体" w:hAnsi="宋体" w:eastAsia="宋体" w:cs="宋体"/>
          <w:kern w:val="0"/>
          <w:sz w:val="24"/>
          <w:szCs w:val="24"/>
        </w:rPr>
      </w:pPr>
      <w:r>
        <w:rPr>
          <w:rFonts w:hint="eastAsia" w:ascii="黑体" w:hAnsi="宋体" w:eastAsia="黑体" w:cs="黑体"/>
          <w:kern w:val="0"/>
          <w:sz w:val="32"/>
          <w:szCs w:val="32"/>
        </w:rPr>
        <w:t>第四部分 决算公开联系方式及信息反馈渠道</w:t>
      </w:r>
    </w:p>
    <w:p>
      <w:pPr>
        <w:spacing w:before="0" w:beforeAutospacing="1" w:after="0" w:afterAutospacing="1" w:line="360" w:lineRule="auto"/>
        <w:jc w:val="both"/>
        <w:rPr>
          <w:rFonts w:hint="eastAsia" w:ascii="宋体" w:hAnsi="宋体" w:eastAsia="宋体" w:cs="宋体"/>
          <w:kern w:val="0"/>
          <w:sz w:val="24"/>
          <w:szCs w:val="24"/>
        </w:rPr>
      </w:pPr>
      <w:r>
        <w:rPr>
          <w:rFonts w:hint="eastAsia" w:ascii="黑体" w:hAnsi="宋体" w:eastAsia="黑体" w:cs="黑体"/>
          <w:kern w:val="0"/>
          <w:sz w:val="32"/>
          <w:szCs w:val="32"/>
        </w:rPr>
        <w:t>第五部分 2022年度单位决算表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一、收入支出决算总表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二、收入决算表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三、支出决算表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四、财政拨款收入支出决算总表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五、项目收入支出决算表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六、一般公共预算财政拨款支出决算表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kern w:val="0"/>
          <w:sz w:val="32"/>
          <w:szCs w:val="32"/>
        </w:rPr>
        <w:t>七、一般公共预算财政拨款基本支出决算明细表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八、一般公共预算财政拨款项目支出决算明细表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九、政府性基金预算财政拨款收入支出决算表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十、国有资本经营预算财政拨款支出决算表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十一、财政拨款</w:t>
      </w:r>
      <w:r>
        <w:rPr>
          <w:rFonts w:hint="default" w:ascii="Times New Roman" w:hAnsi="Times New Roman" w:eastAsia="宋体" w:cs="Times New Roman"/>
          <w:color w:val="000000"/>
          <w:kern w:val="0"/>
          <w:sz w:val="32"/>
          <w:szCs w:val="32"/>
        </w:rPr>
        <w:t>“</w:t>
      </w:r>
      <w:r>
        <w:rPr>
          <w:rFonts w:hint="eastAsia" w:ascii="宋体" w:hAnsi="宋体" w:eastAsia="宋体" w:cs="宋体"/>
          <w:color w:val="000000"/>
          <w:kern w:val="0"/>
          <w:sz w:val="32"/>
          <w:szCs w:val="32"/>
        </w:rPr>
        <w:t>三公</w:t>
      </w:r>
      <w:r>
        <w:rPr>
          <w:rFonts w:hint="default" w:ascii="Times New Roman" w:hAnsi="Times New Roman" w:eastAsia="宋体" w:cs="Times New Roman"/>
          <w:color w:val="000000"/>
          <w:kern w:val="0"/>
          <w:sz w:val="32"/>
          <w:szCs w:val="32"/>
        </w:rPr>
        <w:t>”</w:t>
      </w:r>
      <w:r>
        <w:rPr>
          <w:rFonts w:hint="eastAsia" w:ascii="宋体" w:hAnsi="宋体" w:eastAsia="宋体" w:cs="宋体"/>
          <w:color w:val="000000"/>
          <w:kern w:val="0"/>
          <w:sz w:val="32"/>
          <w:szCs w:val="32"/>
        </w:rPr>
        <w:t>经费支出决算表</w:t>
      </w:r>
    </w:p>
    <w:p>
      <w:pPr>
        <w:spacing w:before="0" w:beforeAutospacing="1" w:after="0" w:afterAutospacing="1" w:line="360" w:lineRule="auto"/>
        <w:jc w:val="both"/>
        <w:rPr>
          <w:rFonts w:hint="eastAsia" w:ascii="宋体" w:hAnsi="宋体" w:eastAsia="宋体" w:cs="宋体"/>
          <w:kern w:val="0"/>
          <w:sz w:val="24"/>
          <w:szCs w:val="24"/>
        </w:rPr>
      </w:pPr>
      <w:r>
        <w:rPr>
          <w:rFonts w:hint="eastAsia" w:ascii="宋体" w:hAnsi="宋体" w:eastAsia="宋体" w:cs="宋体"/>
          <w:color w:val="000000"/>
          <w:kern w:val="0"/>
          <w:sz w:val="32"/>
          <w:szCs w:val="32"/>
        </w:rPr>
        <w:t>十二、机构运行经费支出、国有资产占用情况及政府采购支出信息表</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pStyle w:val="3"/>
        <w:keepNext/>
        <w:spacing w:line="600" w:lineRule="atLeas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第一部分 </w:t>
      </w:r>
      <w:r>
        <w:rPr>
          <w:rFonts w:hint="default" w:ascii="方正小标宋简体" w:hAnsi="方正小标宋简体" w:eastAsia="方正小标宋简体" w:cs="方正小标宋简体"/>
          <w:b/>
          <w:bCs/>
          <w:kern w:val="0"/>
          <w:sz w:val="36"/>
          <w:szCs w:val="36"/>
        </w:rPr>
        <w:t xml:space="preserve"> </w:t>
      </w:r>
      <w:r>
        <w:rPr>
          <w:rFonts w:hint="eastAsia" w:ascii="宋体" w:hAnsi="宋体" w:eastAsia="宋体" w:cs="宋体"/>
          <w:b/>
          <w:bCs/>
          <w:kern w:val="0"/>
          <w:sz w:val="36"/>
          <w:szCs w:val="36"/>
        </w:rPr>
        <w:t>单位概况</w:t>
      </w:r>
    </w:p>
    <w:p>
      <w:pPr>
        <w:spacing w:before="0" w:beforeAutospacing="1" w:after="0" w:afterAutospacing="1" w:line="600" w:lineRule="atLeast"/>
        <w:ind w:left="424" w:firstLine="212"/>
        <w:jc w:val="both"/>
        <w:rPr>
          <w:rFonts w:hint="eastAsia" w:ascii="宋体" w:hAnsi="宋体" w:eastAsia="宋体" w:cs="宋体"/>
          <w:kern w:val="0"/>
          <w:sz w:val="24"/>
          <w:szCs w:val="24"/>
        </w:rPr>
      </w:pPr>
      <w:r>
        <w:rPr>
          <w:rFonts w:hint="eastAsia" w:ascii="黑体" w:hAnsi="宋体" w:eastAsia="黑体" w:cs="黑体"/>
          <w:b/>
          <w:bCs/>
          <w:kern w:val="0"/>
          <w:sz w:val="32"/>
          <w:szCs w:val="32"/>
        </w:rPr>
        <w:t>一、主要职能、职责</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(一) 贯彻执行国家法律法规和自治区地方性法规规章, 落实国家、自治区和鄂尔多斯市关于新型工业化发展战略和政策,拟订并组织实施全市工业和工业领域信息化发展规划, 协调解决新型工业化进程中的重大问题, 推进产业结构战略性调整和优化升级。</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(二) 监测分析全市工业经济运行态势, 发布相关信息, 进行预测预警和信息引导, 协调解决行业运行发展中的有关问题并提出政策建议。负责工业运行中煤电油运综合协调工作。研究拟订全市发电企业年度发电量预期调控目标、电力市场建设方案及年度实施计划并监督实施, 维护电力市场秩序。</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(三) 负责提出工业和信息化固定资产投资规模和方向, 中央、自治区和市本级财政性建设资金安排的建议。按规定权限审核报送属于国务院、自治区投资主管部门核准的项目, 核准、备案市本级工业和信息化固定资产投资项目。指导重点区域、重点产业、重点企业的运行和协调, 负责工业园区相关工作。</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(四) 根据全市国民经济和社会发展总体规划以及产业发展政策, 提出传统产业技术改造相关政策和产业结构调整建议。拟订工业和工业领域信息化年度发展计划并组织实施, 贯彻执行重点行业准入制度, 组织实施工业布局调整。负责工业领域的行业管理。依法履行全市盐业主管机构的行业管理职责。负责全市民用爆炸物品安全生产监督管理。</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(五) 指导工业绿色发展。拟订全市工业能源节约、资源综合利用、自愿型清洁生产促进政策及规划并组织实施。组织实施工业绿色发展重大示范项目和新产品、新技术、新设备、新材料的推广应用工作。负责工业节能监察工作。</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(六) 负责工业和信息技术服务业创新体系建设, 推动技术创新和产学研用相结合。参与国家、自治区及全市工业和信息化产业有关科技重大专项, 推进相关科研成果产业化。指导工业行业的质量管理和品牌培育。</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(七) 组织协调推动振兴装备制造业工作, 组织拟订技术装备发展和自主创新规划、政策, 依托国家、自治区和全市重点工程建设协调有关重大专项的实施, 推进技术装备国产化, 指导引进技术装备的消化创新, 推动新兴产业发展。</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(八) 负责工业领域信息化工作。推进信息化和工业化融合发展。推进工业互联网、软件业、信息服务业发展。负责工业控制系统网络与信息安全。指导通讯网络基础设施建设。指导协调网络资源共建共享。负责国防信息动员工作。</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(九) 负责中小企业及非公有制工业经济发展的宏观指导、综合协调和服务。拟订并组织实施促进中小企业和非公有制工业经济发展的相关政策和措施。</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(十) 负责协调减轻企业负担工作, 推进工业和信息化领域政府服务企业体系建设。监测分析工业和信息化领域企业运行态势, 协调解决重大问题。参与工业和信息化领域的对外合作交流及招商引资工作, 参与开展区域产业协作。</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(十一) 负责工业和信息化领域市本级职能职责范围内的行政执法工作, 查处全市性、跨旗区违法行为, 办理重大行政案件。指导、监督售理旗区相关行政执法工作。</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(十二) 完成市委、市政府交办的其他任务。</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(十三) 有关职责分工</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1.与市委网络安全和信息化委员会办公室有关职责分工。市工业和信息化局负责工业领域信息化工作, 推进工业互联网发展, 指导协调通讯网络基础设施建设和网络资源共建共享。市委网络安全和信息化委员会办公室负责全市信息化推进工作。</w:t>
      </w:r>
    </w:p>
    <w:p>
      <w:pPr>
        <w:autoSpaceDE w:val="0"/>
        <w:autoSpaceDN w:val="0"/>
        <w:spacing w:before="100" w:beforeAutospacing="0" w:after="100" w:afterAutospacing="0" w:line="580" w:lineRule="atLeast"/>
        <w:ind w:left="0" w:right="0" w:firstLine="600"/>
        <w:jc w:val="both"/>
        <w:rPr>
          <w:rFonts w:hint="eastAsia" w:ascii="宋体" w:hAnsi="宋体" w:eastAsia="宋体" w:cs="宋体"/>
          <w:kern w:val="0"/>
          <w:sz w:val="32"/>
          <w:szCs w:val="32"/>
        </w:rPr>
      </w:pPr>
      <w:r>
        <w:rPr>
          <w:rFonts w:hint="eastAsia" w:ascii="宋体" w:hAnsi="宋体" w:eastAsia="宋体" w:cs="宋体"/>
          <w:kern w:val="0"/>
          <w:sz w:val="32"/>
          <w:szCs w:val="32"/>
        </w:rPr>
        <w:t>2.与市能源局有关职责分工。市工业和信息化局商市能源局研究拟订全市发电企业年度发电量预期调控日标计划并监督实施, 研究拟订全市电力市场建设方案, 维护电力市场秩序。</w:t>
      </w:r>
    </w:p>
    <w:p>
      <w:pPr>
        <w:spacing w:before="0" w:beforeAutospacing="1" w:after="0" w:afterAutospacing="1" w:line="600" w:lineRule="atLeast"/>
        <w:ind w:left="424" w:firstLine="212"/>
        <w:jc w:val="both"/>
        <w:rPr>
          <w:rFonts w:hint="eastAsia" w:ascii="宋体" w:hAnsi="宋体" w:eastAsia="宋体" w:cs="宋体"/>
          <w:kern w:val="0"/>
          <w:sz w:val="24"/>
          <w:szCs w:val="24"/>
        </w:rPr>
      </w:pPr>
      <w:r>
        <w:rPr>
          <w:rFonts w:hint="eastAsia" w:ascii="黑体" w:hAnsi="宋体" w:eastAsia="黑体" w:cs="黑体"/>
          <w:b/>
          <w:bCs/>
          <w:kern w:val="0"/>
          <w:sz w:val="32"/>
          <w:szCs w:val="32"/>
        </w:rPr>
        <w:t>二、单位机构设置及决算单位构成情况</w:t>
      </w:r>
    </w:p>
    <w:p>
      <w:pPr>
        <w:autoSpaceDE w:val="0"/>
        <w:autoSpaceDN w:val="0"/>
        <w:spacing w:before="100" w:beforeAutospacing="0" w:after="100" w:afterAutospacing="0" w:line="580" w:lineRule="atLeast"/>
        <w:ind w:left="0" w:right="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1.根据单位职责分工，本单位内设机构包括办公室、政策法规科、经济运行科、企业发展服务科、投资规划科、节能与综合利用科、装备和科技电子科、原材料工业科、电力市场科、消费品工业科、民爆科、信息化和软件服务业科、工业园区科、中小企业科等14个科室。本单位无下属单位。</w:t>
      </w:r>
    </w:p>
    <w:p>
      <w:pPr>
        <w:autoSpaceDE w:val="0"/>
        <w:autoSpaceDN w:val="0"/>
        <w:spacing w:before="100" w:beforeAutospacing="0" w:after="100" w:afterAutospacing="0" w:line="580" w:lineRule="atLeast"/>
        <w:ind w:left="0" w:right="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2.从决算单位构成看，纳入本</w:t>
      </w:r>
      <w:r>
        <w:rPr>
          <w:rFonts w:hint="eastAsia" w:cs="宋体"/>
          <w:kern w:val="0"/>
          <w:sz w:val="32"/>
          <w:szCs w:val="32"/>
          <w:lang w:eastAsia="zh-CN"/>
        </w:rPr>
        <w:t>部门</w:t>
      </w:r>
      <w:r>
        <w:rPr>
          <w:rFonts w:hint="eastAsia" w:ascii="宋体" w:hAnsi="宋体" w:eastAsia="宋体" w:cs="宋体"/>
          <w:kern w:val="0"/>
          <w:sz w:val="32"/>
          <w:szCs w:val="32"/>
        </w:rPr>
        <w:t>2022年</w:t>
      </w:r>
      <w:r>
        <w:rPr>
          <w:rFonts w:hint="eastAsia" w:cs="宋体"/>
          <w:kern w:val="0"/>
          <w:sz w:val="32"/>
          <w:szCs w:val="32"/>
          <w:lang w:eastAsia="zh-CN"/>
        </w:rPr>
        <w:t>部门汇总</w:t>
      </w:r>
      <w:r>
        <w:rPr>
          <w:rFonts w:hint="eastAsia" w:ascii="宋体" w:hAnsi="宋体" w:eastAsia="宋体" w:cs="宋体"/>
          <w:kern w:val="0"/>
          <w:sz w:val="32"/>
          <w:szCs w:val="32"/>
        </w:rPr>
        <w:t>决算编制范围的预算单位共计1家，详细情况见表：</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2"/>
        <w:gridCol w:w="3260"/>
        <w:gridCol w:w="4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spacing w:before="0" w:beforeAutospacing="1" w:after="0" w:afterAutospacing="1"/>
              <w:jc w:val="center"/>
              <w:rPr>
                <w:rFonts w:hint="eastAsia" w:ascii="宋体" w:hAnsi="宋体" w:eastAsia="宋体" w:cs="宋体"/>
                <w:kern w:val="0"/>
                <w:sz w:val="24"/>
                <w:szCs w:val="24"/>
              </w:rPr>
            </w:pPr>
            <w:r>
              <w:rPr>
                <w:rFonts w:hint="eastAsia" w:ascii="宋体" w:hAnsi="宋体" w:eastAsia="宋体" w:cs="宋体"/>
                <w:color w:val="000000"/>
                <w:kern w:val="0"/>
                <w:sz w:val="31"/>
                <w:szCs w:val="31"/>
              </w:rPr>
              <w:t>序号</w:t>
            </w:r>
          </w:p>
        </w:tc>
        <w:tc>
          <w:tcPr>
            <w:tcW w:w="326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spacing w:before="0" w:beforeAutospacing="1" w:after="0" w:afterAutospacing="1"/>
              <w:jc w:val="center"/>
              <w:rPr>
                <w:rFonts w:hint="eastAsia" w:ascii="宋体" w:hAnsi="宋体" w:eastAsia="宋体" w:cs="宋体"/>
                <w:kern w:val="0"/>
                <w:sz w:val="24"/>
                <w:szCs w:val="24"/>
              </w:rPr>
            </w:pPr>
            <w:r>
              <w:rPr>
                <w:rFonts w:hint="eastAsia" w:ascii="宋体" w:hAnsi="宋体" w:eastAsia="宋体" w:cs="宋体"/>
                <w:color w:val="000000"/>
                <w:kern w:val="0"/>
                <w:sz w:val="31"/>
                <w:szCs w:val="31"/>
              </w:rPr>
              <w:t>单位名称</w:t>
            </w:r>
          </w:p>
        </w:tc>
        <w:tc>
          <w:tcPr>
            <w:tcW w:w="460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spacing w:before="0" w:beforeAutospacing="1" w:after="0" w:afterAutospacing="1"/>
              <w:jc w:val="center"/>
              <w:rPr>
                <w:rFonts w:hint="eastAsia" w:ascii="宋体" w:hAnsi="宋体" w:eastAsia="宋体" w:cs="宋体"/>
                <w:kern w:val="0"/>
                <w:sz w:val="24"/>
                <w:szCs w:val="24"/>
              </w:rPr>
            </w:pPr>
            <w:r>
              <w:rPr>
                <w:rFonts w:hint="eastAsia" w:ascii="宋体" w:hAnsi="宋体" w:eastAsia="宋体" w:cs="宋体"/>
                <w:color w:val="000000"/>
                <w:kern w:val="0"/>
                <w:sz w:val="31"/>
                <w:szCs w:val="31"/>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spacing w:before="0" w:beforeAutospacing="1" w:after="0" w:afterAutospacing="1"/>
              <w:jc w:val="center"/>
              <w:rPr>
                <w:rFonts w:hint="eastAsia" w:ascii="宋体" w:hAnsi="宋体" w:eastAsia="宋体" w:cs="宋体"/>
                <w:kern w:val="0"/>
                <w:sz w:val="24"/>
                <w:szCs w:val="24"/>
              </w:rPr>
            </w:pPr>
            <w:r>
              <w:rPr>
                <w:rFonts w:hint="default" w:ascii="Times New Roman" w:hAnsi="Times New Roman" w:eastAsia="宋体" w:cs="Times New Roman"/>
                <w:color w:val="000000"/>
                <w:kern w:val="0"/>
                <w:sz w:val="31"/>
                <w:szCs w:val="31"/>
              </w:rPr>
              <w:t>1</w:t>
            </w:r>
          </w:p>
        </w:tc>
        <w:tc>
          <w:tcPr>
            <w:tcW w:w="3260" w:type="dxa"/>
            <w:tcBorders>
              <w:top w:val="nil"/>
              <w:left w:val="nil"/>
              <w:bottom w:val="single" w:color="auto" w:sz="8" w:space="0"/>
              <w:right w:val="single" w:color="auto" w:sz="8" w:space="0"/>
            </w:tcBorders>
            <w:shd w:val="clear" w:color="auto" w:fill="auto"/>
            <w:tcMar>
              <w:left w:w="108" w:type="dxa"/>
              <w:right w:w="108" w:type="dxa"/>
            </w:tcMar>
            <w:vAlign w:val="top"/>
          </w:tcPr>
          <w:p>
            <w:pPr>
              <w:spacing w:before="0" w:beforeAutospacing="1" w:after="0" w:afterAutospacing="1"/>
              <w:jc w:val="center"/>
              <w:rPr>
                <w:rFonts w:hint="eastAsia" w:ascii="宋体" w:hAnsi="宋体" w:eastAsia="宋体" w:cs="宋体"/>
                <w:kern w:val="0"/>
                <w:sz w:val="24"/>
                <w:szCs w:val="24"/>
              </w:rPr>
            </w:pPr>
            <w:r>
              <w:rPr>
                <w:rFonts w:hint="eastAsia" w:ascii="宋体" w:hAnsi="宋体" w:eastAsia="宋体" w:cs="宋体"/>
                <w:color w:val="000000"/>
                <w:kern w:val="0"/>
                <w:sz w:val="31"/>
                <w:szCs w:val="31"/>
              </w:rPr>
              <w:t>内蒙古自治区鄂尔多斯市工业和信息化局（本级）</w:t>
            </w: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pPr>
              <w:spacing w:before="0" w:beforeAutospacing="1" w:after="0" w:afterAutospacing="1"/>
              <w:jc w:val="center"/>
              <w:rPr>
                <w:rFonts w:hint="eastAsia" w:ascii="宋体" w:hAnsi="宋体" w:eastAsia="宋体" w:cs="宋体"/>
                <w:kern w:val="0"/>
                <w:sz w:val="24"/>
                <w:szCs w:val="24"/>
              </w:rPr>
            </w:pPr>
            <w:r>
              <w:rPr>
                <w:rFonts w:hint="eastAsia" w:ascii="宋体" w:hAnsi="宋体" w:eastAsia="宋体" w:cs="宋体"/>
                <w:color w:val="000000"/>
                <w:kern w:val="0"/>
                <w:sz w:val="31"/>
                <w:szCs w:val="31"/>
              </w:rPr>
              <w:t>财政拨款的行政单位</w:t>
            </w:r>
          </w:p>
        </w:tc>
      </w:tr>
    </w:tbl>
    <w:p>
      <w:pPr>
        <w:spacing w:before="0" w:beforeAutospacing="1" w:after="0" w:afterAutospacing="1" w:line="600" w:lineRule="atLeast"/>
        <w:ind w:left="0" w:firstLine="643"/>
        <w:jc w:val="both"/>
        <w:rPr>
          <w:rFonts w:hint="eastAsia" w:ascii="黑体" w:hAnsi="宋体" w:eastAsia="黑体" w:cs="黑体"/>
          <w:b/>
          <w:bCs/>
          <w:kern w:val="0"/>
          <w:sz w:val="32"/>
          <w:szCs w:val="32"/>
        </w:rPr>
      </w:pPr>
      <w:r>
        <w:rPr>
          <w:rFonts w:hint="eastAsia" w:ascii="黑体" w:hAnsi="宋体" w:eastAsia="黑体" w:cs="黑体"/>
          <w:b/>
          <w:bCs/>
          <w:kern w:val="0"/>
          <w:sz w:val="32"/>
          <w:szCs w:val="32"/>
        </w:rPr>
        <w:t>三、</w:t>
      </w:r>
      <w:r>
        <w:rPr>
          <w:rFonts w:hint="eastAsia" w:ascii="宋体" w:hAnsi="宋体" w:eastAsia="宋体" w:cs="宋体"/>
          <w:b/>
          <w:bCs/>
          <w:kern w:val="0"/>
          <w:sz w:val="32"/>
          <w:szCs w:val="32"/>
        </w:rPr>
        <w:t>2022</w:t>
      </w:r>
      <w:r>
        <w:rPr>
          <w:rFonts w:hint="eastAsia" w:ascii="黑体" w:hAnsi="宋体" w:eastAsia="黑体" w:cs="黑体"/>
          <w:b/>
          <w:bCs/>
          <w:kern w:val="0"/>
          <w:sz w:val="32"/>
          <w:szCs w:val="32"/>
        </w:rPr>
        <w:t>年度单位主要工作完成情况</w:t>
      </w:r>
    </w:p>
    <w:p>
      <w:pPr>
        <w:keepNext w:val="0"/>
        <w:keepLines w:val="0"/>
        <w:widowControl w:val="0"/>
        <w:suppressLineNumbers w:val="0"/>
        <w:spacing w:line="560" w:lineRule="exact"/>
        <w:ind w:left="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我市规模以上工业增加值增速呈逐月增长态势，全年各项工作按计划顺利开展：一是多措并举服务企业。学习苏州等地在稳产业链供应链方面的先进经验做法，扎实开展助企纾困工作，全力推进工业经济平稳运行和提质升级。二是对标先进促转型。学习上海、苏州、贵阳等地在推动产业培育方面的先进经验做法，强化政策支持，推动高质量发展。三是推动工业智能化发展。加快推进5G网络建设，年内已建成5G基站1426个，建设规模由全区中游跃居为全区第三。四是推动工业绿色化发展。引导铁合金、电石、焦炭等产能过剩行业限制类产能有序退出。五是激发活力培优企业。六是推动工业园区高质量发展。全面开展开发区以案促改整治工作，六个方面362个问题已整改完成361个。</w:t>
      </w:r>
    </w:p>
    <w:p>
      <w:pPr>
        <w:pStyle w:val="3"/>
        <w:keepNext/>
        <w:spacing w:line="360" w:lineRule="auto"/>
        <w:jc w:val="center"/>
        <w:rPr>
          <w:rFonts w:hint="eastAsia"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第二部分  2022年度单位决算情况说明</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一、收入支出决算总体情况说明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内蒙古自治区鄂尔多斯市工业和信息化局（本级）单位2022年度收入、支出决算总计</w:t>
      </w:r>
      <w:r>
        <w:rPr>
          <w:rFonts w:hint="default" w:ascii="Times New Roman" w:hAnsi="Times New Roman" w:eastAsia="宋体" w:cs="Times New Roman"/>
          <w:kern w:val="0"/>
          <w:sz w:val="32"/>
          <w:szCs w:val="32"/>
        </w:rPr>
        <w:t>2,084.49</w:t>
      </w:r>
      <w:r>
        <w:rPr>
          <w:rFonts w:hint="eastAsia" w:ascii="宋体" w:hAnsi="宋体" w:eastAsia="宋体" w:cs="宋体"/>
          <w:kern w:val="0"/>
          <w:sz w:val="32"/>
          <w:szCs w:val="32"/>
        </w:rPr>
        <w:t>万元。与年初预算相比，收、支总计各增加</w:t>
      </w:r>
      <w:r>
        <w:rPr>
          <w:rFonts w:hint="default" w:ascii="Times New Roman" w:hAnsi="Times New Roman" w:eastAsia="宋体" w:cs="Times New Roman"/>
          <w:kern w:val="0"/>
          <w:sz w:val="32"/>
          <w:szCs w:val="32"/>
        </w:rPr>
        <w:t>684.19</w:t>
      </w:r>
      <w:r>
        <w:rPr>
          <w:rFonts w:hint="eastAsia" w:ascii="宋体" w:hAnsi="宋体" w:eastAsia="宋体" w:cs="宋体"/>
          <w:kern w:val="0"/>
          <w:sz w:val="32"/>
          <w:szCs w:val="32"/>
        </w:rPr>
        <w:t>万元，增加</w:t>
      </w:r>
      <w:r>
        <w:rPr>
          <w:rFonts w:hint="default" w:ascii="Times New Roman" w:hAnsi="Times New Roman" w:eastAsia="宋体" w:cs="Times New Roman"/>
          <w:kern w:val="0"/>
          <w:sz w:val="32"/>
          <w:szCs w:val="32"/>
        </w:rPr>
        <w:t>48.86</w:t>
      </w:r>
      <w:r>
        <w:rPr>
          <w:rFonts w:hint="eastAsia" w:ascii="宋体" w:hAnsi="宋体" w:eastAsia="宋体" w:cs="宋体"/>
          <w:kern w:val="0"/>
          <w:sz w:val="32"/>
          <w:szCs w:val="32"/>
        </w:rPr>
        <w:t>%，变动原因：因工作开展需要新增规划编制经费、咨询服务和项目评定费、纾困解难等项目；与上年决算相比，收、支总计各增加减少</w:t>
      </w:r>
      <w:r>
        <w:rPr>
          <w:rFonts w:hint="default" w:ascii="Times New Roman" w:hAnsi="Times New Roman" w:eastAsia="宋体" w:cs="Times New Roman"/>
          <w:kern w:val="0"/>
          <w:sz w:val="32"/>
          <w:szCs w:val="32"/>
        </w:rPr>
        <w:t>1,550.38</w:t>
      </w:r>
      <w:r>
        <w:rPr>
          <w:rFonts w:hint="eastAsia" w:ascii="宋体" w:hAnsi="宋体" w:eastAsia="宋体" w:cs="宋体"/>
          <w:kern w:val="0"/>
          <w:sz w:val="32"/>
          <w:szCs w:val="32"/>
        </w:rPr>
        <w:t>万元，减少</w:t>
      </w:r>
      <w:r>
        <w:rPr>
          <w:rFonts w:hint="default" w:ascii="Times New Roman" w:hAnsi="Times New Roman" w:eastAsia="宋体" w:cs="Times New Roman"/>
          <w:kern w:val="0"/>
          <w:sz w:val="32"/>
          <w:szCs w:val="32"/>
        </w:rPr>
        <w:t>42.65</w:t>
      </w:r>
      <w:r>
        <w:rPr>
          <w:rFonts w:hint="eastAsia" w:ascii="宋体" w:hAnsi="宋体" w:eastAsia="宋体" w:cs="宋体"/>
          <w:kern w:val="0"/>
          <w:sz w:val="32"/>
          <w:szCs w:val="32"/>
        </w:rPr>
        <w:t>%。其中：2021年煤炭整治项目等项目已完工,2022年无需开展此项工作，相应费用也随之减少。</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（一）收入决算总计</w:t>
      </w:r>
      <w:r>
        <w:rPr>
          <w:rFonts w:hint="default" w:ascii="Times New Roman" w:hAnsi="Times New Roman" w:eastAsia="宋体" w:cs="Times New Roman"/>
          <w:kern w:val="0"/>
          <w:sz w:val="32"/>
          <w:szCs w:val="32"/>
        </w:rPr>
        <w:t>2,084.49</w:t>
      </w:r>
      <w:r>
        <w:rPr>
          <w:rFonts w:hint="eastAsia" w:ascii="楷体" w:hAnsi="楷体" w:eastAsia="楷体" w:cs="楷体"/>
          <w:b/>
          <w:bCs/>
          <w:kern w:val="0"/>
          <w:sz w:val="32"/>
          <w:szCs w:val="32"/>
        </w:rPr>
        <w:t>万元。包括：</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本年收入决算合计</w:t>
      </w:r>
      <w:r>
        <w:rPr>
          <w:rFonts w:hint="default" w:ascii="Times New Roman" w:hAnsi="Times New Roman" w:eastAsia="宋体" w:cs="Times New Roman"/>
          <w:kern w:val="0"/>
          <w:sz w:val="32"/>
          <w:szCs w:val="32"/>
        </w:rPr>
        <w:t>1,962.96</w:t>
      </w:r>
      <w:r>
        <w:rPr>
          <w:rFonts w:hint="eastAsia" w:ascii="宋体" w:hAnsi="宋体" w:eastAsia="宋体" w:cs="宋体"/>
          <w:kern w:val="0"/>
          <w:sz w:val="32"/>
          <w:szCs w:val="32"/>
        </w:rPr>
        <w:t>万元。与上年决算相比，减少</w:t>
      </w:r>
      <w:r>
        <w:rPr>
          <w:rFonts w:hint="default" w:ascii="Times New Roman" w:hAnsi="Times New Roman" w:eastAsia="宋体" w:cs="Times New Roman"/>
          <w:kern w:val="0"/>
          <w:sz w:val="32"/>
          <w:szCs w:val="32"/>
        </w:rPr>
        <w:t>1,563.69</w:t>
      </w:r>
      <w:r>
        <w:rPr>
          <w:rFonts w:hint="eastAsia" w:ascii="宋体" w:hAnsi="宋体" w:eastAsia="宋体" w:cs="宋体"/>
          <w:kern w:val="0"/>
          <w:sz w:val="32"/>
          <w:szCs w:val="32"/>
        </w:rPr>
        <w:t>万元，减少</w:t>
      </w:r>
      <w:r>
        <w:rPr>
          <w:rFonts w:hint="default" w:ascii="Times New Roman" w:hAnsi="Times New Roman" w:eastAsia="宋体" w:cs="Times New Roman"/>
          <w:kern w:val="0"/>
          <w:sz w:val="32"/>
          <w:szCs w:val="32"/>
        </w:rPr>
        <w:t>44.34</w:t>
      </w:r>
      <w:r>
        <w:rPr>
          <w:rFonts w:hint="eastAsia" w:ascii="宋体" w:hAnsi="宋体" w:eastAsia="宋体" w:cs="宋体"/>
          <w:kern w:val="0"/>
          <w:sz w:val="32"/>
          <w:szCs w:val="32"/>
        </w:rPr>
        <w:t>%，变动原因：2021年煤炭整治项目等项目已完工,2022年无需开展此项工作，相应费用也随之减少。</w:t>
      </w:r>
    </w:p>
    <w:p>
      <w:pPr>
        <w:spacing w:before="0" w:beforeAutospacing="1" w:after="0" w:afterAutospacing="1" w:line="560" w:lineRule="atLeast"/>
        <w:ind w:left="0" w:firstLine="640"/>
        <w:jc w:val="both"/>
        <w:rPr>
          <w:rFonts w:hint="eastAsia" w:ascii="宋体" w:hAnsi="宋体" w:eastAsia="宋体" w:cs="宋体"/>
          <w:kern w:val="0"/>
          <w:sz w:val="32"/>
          <w:szCs w:val="32"/>
        </w:rPr>
      </w:pP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使用非财政拨款结余</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%，变动原因：本单位本年度无此项目。</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3.</w:t>
      </w:r>
      <w:r>
        <w:rPr>
          <w:rFonts w:hint="eastAsia" w:ascii="宋体" w:hAnsi="宋体" w:eastAsia="宋体" w:cs="宋体"/>
          <w:kern w:val="0"/>
          <w:sz w:val="32"/>
          <w:szCs w:val="32"/>
        </w:rPr>
        <w:t>年初结转和结余</w:t>
      </w:r>
      <w:r>
        <w:rPr>
          <w:rFonts w:hint="default" w:ascii="Times New Roman" w:hAnsi="Times New Roman" w:eastAsia="宋体" w:cs="Times New Roman"/>
          <w:kern w:val="0"/>
          <w:sz w:val="32"/>
          <w:szCs w:val="32"/>
        </w:rPr>
        <w:t>121.53</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rPr>
        <w:t>13.31</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rPr>
        <w:t>12.29</w:t>
      </w:r>
      <w:r>
        <w:rPr>
          <w:rFonts w:hint="eastAsia" w:ascii="宋体" w:hAnsi="宋体" w:eastAsia="宋体" w:cs="宋体"/>
          <w:kern w:val="0"/>
          <w:sz w:val="32"/>
          <w:szCs w:val="32"/>
        </w:rPr>
        <w:t>%，变动原因：“十四五”规划编制经费按合同履约分期付款，所以费用结转。</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（二）支出决算总计</w:t>
      </w:r>
      <w:r>
        <w:rPr>
          <w:rFonts w:hint="default" w:ascii="Times New Roman" w:hAnsi="Times New Roman" w:eastAsia="宋体" w:cs="Times New Roman"/>
          <w:kern w:val="0"/>
          <w:sz w:val="32"/>
          <w:szCs w:val="32"/>
        </w:rPr>
        <w:t>2,084.49</w:t>
      </w:r>
      <w:r>
        <w:rPr>
          <w:rFonts w:hint="eastAsia" w:ascii="楷体" w:hAnsi="楷体" w:eastAsia="楷体" w:cs="楷体"/>
          <w:b/>
          <w:bCs/>
          <w:kern w:val="0"/>
          <w:sz w:val="32"/>
          <w:szCs w:val="32"/>
        </w:rPr>
        <w:t>万元。包括：</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本年支出决算合计</w:t>
      </w:r>
      <w:r>
        <w:rPr>
          <w:rFonts w:hint="default" w:ascii="Times New Roman" w:hAnsi="Times New Roman" w:eastAsia="宋体" w:cs="Times New Roman"/>
          <w:kern w:val="0"/>
          <w:sz w:val="32"/>
          <w:szCs w:val="32"/>
        </w:rPr>
        <w:t>2,083.62</w:t>
      </w:r>
      <w:r>
        <w:rPr>
          <w:rFonts w:hint="eastAsia" w:ascii="宋体" w:hAnsi="宋体" w:eastAsia="宋体" w:cs="宋体"/>
          <w:kern w:val="0"/>
          <w:sz w:val="32"/>
          <w:szCs w:val="32"/>
        </w:rPr>
        <w:t>万元。与上年决算相比，减少</w:t>
      </w:r>
      <w:r>
        <w:rPr>
          <w:rFonts w:hint="default" w:ascii="Times New Roman" w:hAnsi="Times New Roman" w:eastAsia="宋体" w:cs="Times New Roman"/>
          <w:kern w:val="0"/>
          <w:sz w:val="32"/>
          <w:szCs w:val="32"/>
        </w:rPr>
        <w:t>1,550.42</w:t>
      </w:r>
      <w:r>
        <w:rPr>
          <w:rFonts w:hint="eastAsia" w:ascii="宋体" w:hAnsi="宋体" w:eastAsia="宋体" w:cs="宋体"/>
          <w:kern w:val="0"/>
          <w:sz w:val="32"/>
          <w:szCs w:val="32"/>
        </w:rPr>
        <w:t>万元，减少</w:t>
      </w:r>
      <w:r>
        <w:rPr>
          <w:rFonts w:hint="default" w:ascii="Times New Roman" w:hAnsi="Times New Roman" w:eastAsia="宋体" w:cs="Times New Roman"/>
          <w:kern w:val="0"/>
          <w:sz w:val="32"/>
          <w:szCs w:val="32"/>
        </w:rPr>
        <w:t>42.66</w:t>
      </w:r>
      <w:r>
        <w:rPr>
          <w:rFonts w:hint="eastAsia" w:ascii="宋体" w:hAnsi="宋体" w:eastAsia="宋体" w:cs="宋体"/>
          <w:kern w:val="0"/>
          <w:sz w:val="32"/>
          <w:szCs w:val="32"/>
        </w:rPr>
        <w:t>%，变动原因：2021年煤炭整治项目等项目已完工,2022年无需开展此项工作，相应费用也随之减少。</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结余分配</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万元。结余分配事项：无。与上年决算相比，增加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%，变动原因：本单位本年度无此项目。</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3.</w:t>
      </w:r>
      <w:r>
        <w:rPr>
          <w:rFonts w:hint="eastAsia" w:ascii="宋体" w:hAnsi="宋体" w:eastAsia="宋体" w:cs="宋体"/>
          <w:kern w:val="0"/>
          <w:sz w:val="32"/>
          <w:szCs w:val="32"/>
        </w:rPr>
        <w:t>年末结转和结余</w:t>
      </w:r>
      <w:r>
        <w:rPr>
          <w:rFonts w:hint="default" w:ascii="Times New Roman" w:hAnsi="Times New Roman" w:eastAsia="宋体" w:cs="Times New Roman"/>
          <w:kern w:val="0"/>
          <w:sz w:val="32"/>
          <w:szCs w:val="32"/>
        </w:rPr>
        <w:t>0.87</w:t>
      </w:r>
      <w:r>
        <w:rPr>
          <w:rFonts w:hint="eastAsia" w:ascii="宋体" w:hAnsi="宋体" w:eastAsia="宋体" w:cs="宋体"/>
          <w:kern w:val="0"/>
          <w:sz w:val="32"/>
          <w:szCs w:val="32"/>
        </w:rPr>
        <w:t>万元。结转和结余事项：增加利息收入。与上年决算相比，增加</w:t>
      </w:r>
      <w:r>
        <w:rPr>
          <w:rFonts w:hint="default" w:ascii="Times New Roman" w:hAnsi="Times New Roman" w:eastAsia="宋体" w:cs="Times New Roman"/>
          <w:kern w:val="0"/>
          <w:sz w:val="32"/>
          <w:szCs w:val="32"/>
        </w:rPr>
        <w:t>0.04</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rPr>
        <w:t>4.</w:t>
      </w:r>
      <w:r>
        <w:rPr>
          <w:rFonts w:hint="eastAsia" w:ascii="Times New Roman" w:hAnsi="Times New Roman" w:cs="Times New Roman"/>
          <w:kern w:val="0"/>
          <w:sz w:val="32"/>
          <w:szCs w:val="32"/>
          <w:lang w:val="en-US" w:eastAsia="zh-CN"/>
        </w:rPr>
        <w:t>82</w:t>
      </w:r>
      <w:r>
        <w:rPr>
          <w:rFonts w:hint="eastAsia" w:ascii="宋体" w:hAnsi="宋体" w:eastAsia="宋体" w:cs="宋体"/>
          <w:kern w:val="0"/>
          <w:sz w:val="32"/>
          <w:szCs w:val="32"/>
        </w:rPr>
        <w:t>%，变动原因：增加利息收入。</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二、收入决算情况说明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内蒙古自治区鄂尔多斯市工业和信息化局（本级）单位2022年度本年收入决算合计</w:t>
      </w:r>
      <w:r>
        <w:rPr>
          <w:rFonts w:hint="default" w:ascii="Times New Roman" w:hAnsi="Times New Roman" w:eastAsia="宋体" w:cs="Times New Roman"/>
          <w:kern w:val="0"/>
          <w:sz w:val="32"/>
          <w:szCs w:val="32"/>
        </w:rPr>
        <w:t>1,962.96</w:t>
      </w:r>
      <w:r>
        <w:rPr>
          <w:rFonts w:hint="eastAsia" w:ascii="宋体" w:hAnsi="宋体" w:eastAsia="宋体" w:cs="宋体"/>
          <w:kern w:val="0"/>
          <w:sz w:val="32"/>
          <w:szCs w:val="32"/>
        </w:rPr>
        <w:t>万元，其中：</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本年一般公共预算财政拨款收入</w:t>
      </w:r>
      <w:r>
        <w:rPr>
          <w:rFonts w:hint="default" w:ascii="Times New Roman" w:hAnsi="Times New Roman" w:eastAsia="宋体" w:cs="Times New Roman"/>
          <w:kern w:val="0"/>
          <w:sz w:val="32"/>
          <w:szCs w:val="32"/>
        </w:rPr>
        <w:t>1,962.72</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99.99</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本年政府性基金预算财政拨款收入</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本年国有资本经营预算财政拨款收入</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本年上级补助收入</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本年事业收入</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本年经营收入</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本年附属单位上缴收入</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本年其他收入</w:t>
      </w:r>
      <w:r>
        <w:rPr>
          <w:rFonts w:hint="default" w:ascii="Times New Roman" w:hAnsi="Times New Roman" w:eastAsia="宋体" w:cs="Times New Roman"/>
          <w:kern w:val="0"/>
          <w:sz w:val="32"/>
          <w:szCs w:val="32"/>
        </w:rPr>
        <w:t>0.24</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0.01</w:t>
      </w:r>
      <w:r>
        <w:rPr>
          <w:rFonts w:hint="eastAsia" w:ascii="宋体" w:hAnsi="宋体" w:eastAsia="宋体" w:cs="宋体"/>
          <w:kern w:val="0"/>
          <w:sz w:val="32"/>
          <w:szCs w:val="32"/>
        </w:rPr>
        <w:t>%。</w:t>
      </w:r>
    </w:p>
    <w:p>
      <w:pPr>
        <w:spacing w:before="0" w:beforeAutospacing="1" w:after="0" w:afterAutospacing="1" w:line="60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r>
        <w:pict>
          <v:shape id="_x0000_i1025" o:spt="75" type="#_x0000_t75" style="height:174pt;width:289.2pt;" filled="f" stroked="f" coordsize="21600,21600">
            <v:path/>
            <v:fill on="f" focussize="0,0"/>
            <v:stroke on="f"/>
            <v:imagedata r:id="rId5" o:title=""/>
            <o:lock v:ext="edit" aspectratio="t"/>
            <w10:wrap type="none"/>
            <w10:anchorlock/>
          </v:shape>
        </w:pict>
      </w:r>
    </w:p>
    <w:p>
      <w:pPr>
        <w:spacing w:before="0" w:beforeAutospacing="1" w:after="0" w:afterAutospacing="1" w:line="560" w:lineRule="atLeast"/>
        <w:ind w:left="0" w:firstLine="640"/>
        <w:jc w:val="center"/>
        <w:rPr>
          <w:rFonts w:hint="eastAsia" w:ascii="宋体" w:hAnsi="宋体" w:eastAsia="宋体" w:cs="宋体"/>
          <w:kern w:val="0"/>
          <w:sz w:val="24"/>
          <w:szCs w:val="24"/>
        </w:rPr>
      </w:pPr>
      <w:r>
        <w:rPr>
          <w:rFonts w:hint="eastAsia" w:ascii="宋体" w:hAnsi="宋体" w:eastAsia="宋体" w:cs="宋体"/>
          <w:kern w:val="0"/>
          <w:sz w:val="32"/>
          <w:szCs w:val="32"/>
        </w:rPr>
        <w:t>图</w:t>
      </w: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收入决算图</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三、支出决算情况说明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内蒙古自治区鄂尔多斯市工业和信息化局（本级）单位2022年度本年支出决算合计</w:t>
      </w:r>
      <w:r>
        <w:rPr>
          <w:rFonts w:hint="default" w:ascii="Times New Roman" w:hAnsi="Times New Roman" w:eastAsia="宋体" w:cs="Times New Roman"/>
          <w:kern w:val="0"/>
          <w:sz w:val="32"/>
          <w:szCs w:val="32"/>
        </w:rPr>
        <w:t>2,083.62</w:t>
      </w:r>
      <w:r>
        <w:rPr>
          <w:rFonts w:hint="eastAsia" w:ascii="宋体" w:hAnsi="宋体" w:eastAsia="宋体" w:cs="宋体"/>
          <w:kern w:val="0"/>
          <w:sz w:val="32"/>
          <w:szCs w:val="32"/>
        </w:rPr>
        <w:t>万元，其中：</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本年基本支出</w:t>
      </w:r>
      <w:r>
        <w:rPr>
          <w:rFonts w:hint="default" w:ascii="Times New Roman" w:hAnsi="Times New Roman" w:eastAsia="宋体" w:cs="Times New Roman"/>
          <w:kern w:val="0"/>
          <w:sz w:val="32"/>
          <w:szCs w:val="32"/>
        </w:rPr>
        <w:t>862.58</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41.40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本年项目支出</w:t>
      </w:r>
      <w:r>
        <w:rPr>
          <w:rFonts w:hint="default" w:ascii="Times New Roman" w:hAnsi="Times New Roman" w:eastAsia="宋体" w:cs="Times New Roman"/>
          <w:kern w:val="0"/>
          <w:sz w:val="32"/>
          <w:szCs w:val="32"/>
        </w:rPr>
        <w:t>1,221.05</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58.60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本年上缴上级支出</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本年经营支出</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本年对附属单位补助支出</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w:t>
      </w:r>
    </w:p>
    <w:p>
      <w:pPr>
        <w:spacing w:before="0" w:beforeAutospacing="1" w:after="0" w:afterAutospacing="1" w:line="560" w:lineRule="atLeast"/>
        <w:jc w:val="center"/>
        <w:rPr>
          <w:rFonts w:hint="default" w:ascii="Times New Roman" w:hAnsi="Times New Roman" w:eastAsia="宋体" w:cs="Times New Roman"/>
          <w:kern w:val="0"/>
          <w:sz w:val="32"/>
          <w:szCs w:val="32"/>
        </w:rPr>
      </w:pPr>
      <w:r>
        <w:pict>
          <v:shape id="_x0000_i1026" o:spt="75" type="#_x0000_t75" style="height:174pt;width:289.2pt;" filled="f" stroked="f" coordsize="21600,21600">
            <v:path/>
            <v:fill on="f" focussize="0,0"/>
            <v:stroke on="f"/>
            <v:imagedata r:id="rId6" o:title=""/>
            <o:lock v:ext="edit" aspectratio="t"/>
            <w10:wrap type="none"/>
            <w10:anchorlock/>
          </v:shape>
        </w:pict>
      </w:r>
      <w:r>
        <w:rPr>
          <w:rFonts w:hint="default" w:ascii="Times New Roman" w:hAnsi="Times New Roman" w:eastAsia="宋体" w:cs="Times New Roman"/>
          <w:kern w:val="0"/>
          <w:sz w:val="32"/>
          <w:szCs w:val="32"/>
        </w:rPr>
        <w:t xml:space="preserve"> </w:t>
      </w:r>
    </w:p>
    <w:p>
      <w:pPr>
        <w:spacing w:before="0" w:beforeAutospacing="1" w:after="0" w:afterAutospacing="1" w:line="560" w:lineRule="atLeast"/>
        <w:jc w:val="center"/>
        <w:rPr>
          <w:rFonts w:hint="eastAsia" w:ascii="宋体" w:hAnsi="宋体" w:eastAsia="宋体" w:cs="宋体"/>
          <w:kern w:val="0"/>
          <w:sz w:val="24"/>
          <w:szCs w:val="24"/>
        </w:rPr>
      </w:pPr>
      <w:r>
        <w:rPr>
          <w:rFonts w:hint="eastAsia" w:ascii="宋体" w:hAnsi="宋体" w:eastAsia="宋体" w:cs="宋体"/>
          <w:kern w:val="0"/>
          <w:sz w:val="32"/>
          <w:szCs w:val="32"/>
        </w:rPr>
        <w:t>图</w:t>
      </w: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支出决算图</w:t>
      </w:r>
    </w:p>
    <w:p>
      <w:pPr>
        <w:spacing w:before="0" w:beforeAutospacing="1" w:after="0" w:afterAutospacing="1" w:line="560" w:lineRule="atLeast"/>
        <w:jc w:val="center"/>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 xml:space="preserve"> </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四、财政拨款收入支出决算总体情况说明</w:t>
      </w:r>
    </w:p>
    <w:p>
      <w:pPr>
        <w:spacing w:before="0" w:beforeAutospacing="1" w:after="0" w:afterAutospacing="1" w:line="560" w:lineRule="atLeast"/>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内蒙古自治区鄂尔多斯市工业和信息化局（本级）2022年度财政拨款收入、支出决算总计</w:t>
      </w:r>
      <w:r>
        <w:rPr>
          <w:rFonts w:hint="default" w:ascii="Times New Roman" w:hAnsi="Times New Roman" w:eastAsia="宋体" w:cs="Times New Roman"/>
          <w:kern w:val="0"/>
          <w:sz w:val="32"/>
          <w:szCs w:val="32"/>
        </w:rPr>
        <w:t>2,083.62</w:t>
      </w:r>
      <w:r>
        <w:rPr>
          <w:rFonts w:hint="eastAsia" w:ascii="宋体" w:hAnsi="宋体" w:eastAsia="宋体" w:cs="宋体"/>
          <w:kern w:val="0"/>
          <w:sz w:val="32"/>
          <w:szCs w:val="32"/>
        </w:rPr>
        <w:t>万元，与年初预算相比，收、支总计各增加</w:t>
      </w:r>
      <w:r>
        <w:rPr>
          <w:rFonts w:hint="default" w:ascii="Times New Roman" w:hAnsi="Times New Roman" w:eastAsia="宋体" w:cs="Times New Roman"/>
          <w:kern w:val="0"/>
          <w:sz w:val="32"/>
          <w:szCs w:val="32"/>
        </w:rPr>
        <w:t>683.32</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rPr>
        <w:t>48.80</w:t>
      </w:r>
      <w:r>
        <w:rPr>
          <w:rFonts w:hint="eastAsia" w:ascii="宋体" w:hAnsi="宋体" w:eastAsia="宋体" w:cs="宋体"/>
          <w:kern w:val="0"/>
          <w:sz w:val="32"/>
          <w:szCs w:val="32"/>
        </w:rPr>
        <w:t>%，变动原因：因工作开展需要新增规划编制经费、咨询服务和项目评定费、纾困解难等项目；与上年决算相比，收、支总计各减少</w:t>
      </w:r>
      <w:r>
        <w:rPr>
          <w:rFonts w:hint="default" w:ascii="Times New Roman" w:hAnsi="Times New Roman" w:eastAsia="宋体" w:cs="Times New Roman"/>
          <w:kern w:val="0"/>
          <w:sz w:val="32"/>
          <w:szCs w:val="32"/>
        </w:rPr>
        <w:t>1,550.62</w:t>
      </w:r>
      <w:r>
        <w:rPr>
          <w:rFonts w:hint="eastAsia" w:ascii="宋体" w:hAnsi="宋体" w:eastAsia="宋体" w:cs="宋体"/>
          <w:kern w:val="0"/>
          <w:sz w:val="32"/>
          <w:szCs w:val="32"/>
        </w:rPr>
        <w:t>万元，减少</w:t>
      </w:r>
      <w:r>
        <w:rPr>
          <w:rFonts w:hint="default" w:ascii="Times New Roman" w:hAnsi="Times New Roman" w:eastAsia="宋体" w:cs="Times New Roman"/>
          <w:kern w:val="0"/>
          <w:sz w:val="30"/>
          <w:szCs w:val="30"/>
        </w:rPr>
        <w:t>42.67</w:t>
      </w:r>
      <w:r>
        <w:rPr>
          <w:rFonts w:hint="eastAsia" w:ascii="宋体" w:hAnsi="宋体" w:eastAsia="宋体" w:cs="宋体"/>
          <w:kern w:val="0"/>
          <w:sz w:val="32"/>
          <w:szCs w:val="32"/>
        </w:rPr>
        <w:t>%，变动原因：2021年煤炭整治项目等项目已完工,2022年无需开展此项工作，相应费用也随之减少。</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kern w:val="0"/>
          <w:sz w:val="32"/>
          <w:szCs w:val="32"/>
        </w:rPr>
        <w:t>五、一般公共预算支出决算情况说明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内蒙古自治区鄂尔多斯市工业和信息化局（本级）2022年度一般公共预算财政拨款支出决算</w:t>
      </w:r>
      <w:r>
        <w:rPr>
          <w:rFonts w:hint="default" w:ascii="Times New Roman" w:hAnsi="Times New Roman" w:eastAsia="宋体" w:cs="Times New Roman"/>
          <w:kern w:val="0"/>
          <w:sz w:val="32"/>
          <w:szCs w:val="32"/>
        </w:rPr>
        <w:t>2,083.62</w:t>
      </w:r>
      <w:r>
        <w:rPr>
          <w:rFonts w:hint="eastAsia" w:ascii="宋体" w:hAnsi="宋体" w:eastAsia="宋体" w:cs="宋体"/>
          <w:kern w:val="0"/>
          <w:sz w:val="32"/>
          <w:szCs w:val="32"/>
        </w:rPr>
        <w:t>万元。与年初预算</w:t>
      </w:r>
      <w:r>
        <w:rPr>
          <w:rFonts w:hint="eastAsia" w:ascii="Times New Roman" w:hAnsi="Times New Roman" w:cs="Times New Roman"/>
          <w:kern w:val="0"/>
          <w:sz w:val="32"/>
          <w:szCs w:val="32"/>
          <w:lang w:val="en-US" w:eastAsia="zh-CN"/>
        </w:rPr>
        <w:t>1400.30</w:t>
      </w:r>
      <w:r>
        <w:rPr>
          <w:rFonts w:hint="eastAsia" w:ascii="宋体" w:hAnsi="宋体" w:eastAsia="宋体" w:cs="宋体"/>
          <w:kern w:val="0"/>
          <w:sz w:val="32"/>
          <w:szCs w:val="32"/>
        </w:rPr>
        <w:t>万元相比，完成年初预算的</w:t>
      </w:r>
      <w:r>
        <w:rPr>
          <w:rFonts w:hint="eastAsia" w:ascii="Times New Roman" w:hAnsi="Times New Roman" w:cs="Times New Roman"/>
          <w:kern w:val="0"/>
          <w:sz w:val="32"/>
          <w:szCs w:val="32"/>
          <w:lang w:val="en-US" w:eastAsia="zh-CN"/>
        </w:rPr>
        <w:t>148.80%</w:t>
      </w:r>
      <w:r>
        <w:rPr>
          <w:rFonts w:hint="eastAsia" w:ascii="宋体" w:hAnsi="宋体" w:eastAsia="宋体" w:cs="宋体"/>
          <w:kern w:val="0"/>
          <w:sz w:val="32"/>
          <w:szCs w:val="32"/>
        </w:rPr>
        <w:t>。其中：</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（一）一般公共服务（类）</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一般公共服务类决算数为</w:t>
      </w:r>
      <w:r>
        <w:rPr>
          <w:rFonts w:hint="default" w:ascii="Times New Roman" w:hAnsi="Times New Roman" w:eastAsia="宋体" w:cs="Times New Roman"/>
          <w:kern w:val="0"/>
          <w:sz w:val="30"/>
          <w:szCs w:val="30"/>
        </w:rPr>
        <w:t>14.29</w:t>
      </w:r>
      <w:r>
        <w:rPr>
          <w:rFonts w:hint="eastAsia" w:ascii="宋体" w:hAnsi="宋体" w:eastAsia="宋体" w:cs="宋体"/>
          <w:kern w:val="0"/>
          <w:sz w:val="32"/>
          <w:szCs w:val="32"/>
        </w:rPr>
        <w:t>万元，与年初预算相比减少</w:t>
      </w:r>
      <w:r>
        <w:rPr>
          <w:rFonts w:hint="default" w:ascii="Times New Roman" w:hAnsi="Times New Roman" w:eastAsia="宋体" w:cs="Times New Roman"/>
          <w:kern w:val="0"/>
          <w:sz w:val="32"/>
          <w:szCs w:val="32"/>
        </w:rPr>
        <w:t>2.33</w:t>
      </w:r>
      <w:r>
        <w:rPr>
          <w:rFonts w:hint="eastAsia" w:ascii="宋体" w:hAnsi="宋体" w:eastAsia="宋体" w:cs="宋体"/>
          <w:kern w:val="0"/>
          <w:sz w:val="32"/>
          <w:szCs w:val="32"/>
        </w:rPr>
        <w:t>万元。其中：</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．纪检监察事务（款）派驻派出机构（项）。年初预算</w:t>
      </w:r>
      <w:r>
        <w:rPr>
          <w:rFonts w:hint="default" w:ascii="Times New Roman" w:hAnsi="Times New Roman" w:eastAsia="宋体" w:cs="Times New Roman"/>
          <w:kern w:val="0"/>
          <w:sz w:val="32"/>
          <w:szCs w:val="32"/>
        </w:rPr>
        <w:t>10</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rPr>
        <w:t>7.67</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rPr>
        <w:t>76.7</w:t>
      </w:r>
      <w:r>
        <w:rPr>
          <w:rFonts w:hint="eastAsia" w:ascii="宋体" w:hAnsi="宋体" w:eastAsia="宋体" w:cs="宋体"/>
          <w:kern w:val="0"/>
          <w:sz w:val="32"/>
          <w:szCs w:val="32"/>
        </w:rPr>
        <w:t>%。决算数与年初预算数的差异原因：督查案件减少，费用节约。</w:t>
      </w:r>
    </w:p>
    <w:p>
      <w:pPr>
        <w:spacing w:before="0" w:beforeAutospacing="1" w:after="0" w:afterAutospacing="1" w:line="560" w:lineRule="atLeast"/>
        <w:ind w:left="0" w:firstLine="643"/>
        <w:jc w:val="both"/>
        <w:rPr>
          <w:rFonts w:hint="eastAsia" w:ascii="宋体" w:hAnsi="宋体" w:eastAsia="宋体" w:cs="宋体"/>
          <w:kern w:val="0"/>
          <w:sz w:val="32"/>
          <w:szCs w:val="32"/>
        </w:rPr>
      </w:pP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．其他一般公共服务支出（款）其他一般公共服务支出（项）。年初预算</w:t>
      </w:r>
      <w:r>
        <w:rPr>
          <w:rFonts w:hint="default" w:ascii="Times New Roman" w:hAnsi="Times New Roman" w:eastAsia="宋体" w:cs="Times New Roman"/>
          <w:kern w:val="0"/>
          <w:sz w:val="32"/>
          <w:szCs w:val="32"/>
        </w:rPr>
        <w:t>6.62</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rPr>
        <w:t>6.62</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%。决算数与年初预算数的差异原因：本单位严格按照预算执行。</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rPr>
        <w:t>）社会保障和就业支出（类）</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社会保障和就业支出类决算数为</w:t>
      </w:r>
      <w:r>
        <w:rPr>
          <w:rFonts w:hint="default" w:ascii="Times New Roman" w:hAnsi="Times New Roman" w:eastAsia="宋体" w:cs="Times New Roman"/>
          <w:kern w:val="0"/>
          <w:sz w:val="32"/>
          <w:szCs w:val="32"/>
        </w:rPr>
        <w:t>73.52</w:t>
      </w:r>
      <w:r>
        <w:rPr>
          <w:rFonts w:hint="eastAsia" w:ascii="宋体" w:hAnsi="宋体" w:eastAsia="宋体" w:cs="宋体"/>
          <w:kern w:val="0"/>
          <w:sz w:val="32"/>
          <w:szCs w:val="32"/>
        </w:rPr>
        <w:t>万元，与年初预算相比增加</w:t>
      </w:r>
      <w:r>
        <w:rPr>
          <w:rFonts w:hint="default" w:ascii="Times New Roman" w:hAnsi="Times New Roman" w:eastAsia="宋体" w:cs="Times New Roman"/>
          <w:kern w:val="0"/>
          <w:sz w:val="32"/>
          <w:szCs w:val="32"/>
        </w:rPr>
        <w:t>0</w:t>
      </w:r>
      <w:r>
        <w:rPr>
          <w:rFonts w:hint="eastAsia" w:ascii="Times New Roman" w:hAnsi="Times New Roman" w:cs="Times New Roman"/>
          <w:kern w:val="0"/>
          <w:sz w:val="32"/>
          <w:szCs w:val="32"/>
          <w:lang w:val="en-US" w:eastAsia="zh-CN"/>
        </w:rPr>
        <w:t>.90</w:t>
      </w:r>
      <w:r>
        <w:rPr>
          <w:rFonts w:hint="eastAsia" w:ascii="宋体" w:hAnsi="宋体" w:eastAsia="宋体" w:cs="宋体"/>
          <w:kern w:val="0"/>
          <w:sz w:val="32"/>
          <w:szCs w:val="32"/>
        </w:rPr>
        <w:t>万元。其中：</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cs="宋体"/>
          <w:kern w:val="0"/>
          <w:sz w:val="32"/>
          <w:szCs w:val="32"/>
          <w:lang w:val="en-US" w:eastAsia="zh-CN"/>
        </w:rPr>
      </w:pPr>
      <w:r>
        <w:rPr>
          <w:rFonts w:hint="eastAsia" w:ascii="Times New Roman" w:hAnsi="Times New Roman" w:cs="Times New Roman"/>
          <w:kern w:val="0"/>
          <w:sz w:val="32"/>
          <w:szCs w:val="32"/>
          <w:lang w:val="en-US" w:eastAsia="zh-CN"/>
        </w:rPr>
        <w:t>1</w:t>
      </w:r>
      <w:r>
        <w:rPr>
          <w:rFonts w:hint="eastAsia" w:ascii="宋体" w:hAnsi="宋体" w:eastAsia="宋体" w:cs="宋体"/>
          <w:kern w:val="0"/>
          <w:sz w:val="32"/>
          <w:szCs w:val="32"/>
        </w:rPr>
        <w:t>．行政事业单位养老支出（款）机关事业单位基本养老保险缴费支出（项）。年初预算</w:t>
      </w:r>
      <w:r>
        <w:rPr>
          <w:rFonts w:hint="default" w:ascii="Times New Roman" w:hAnsi="Times New Roman" w:eastAsia="宋体" w:cs="Times New Roman"/>
          <w:kern w:val="0"/>
          <w:sz w:val="32"/>
          <w:szCs w:val="32"/>
        </w:rPr>
        <w:t>51.46</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rPr>
        <w:t>43.89</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rPr>
        <w:t>85.28</w:t>
      </w:r>
      <w:r>
        <w:rPr>
          <w:rFonts w:hint="eastAsia" w:ascii="宋体" w:hAnsi="宋体" w:eastAsia="宋体" w:cs="宋体"/>
          <w:kern w:val="0"/>
          <w:sz w:val="32"/>
          <w:szCs w:val="32"/>
        </w:rPr>
        <w:t>%。决算数与年初预算数的差异原因：</w:t>
      </w:r>
      <w:r>
        <w:rPr>
          <w:rFonts w:hint="eastAsia" w:cs="宋体"/>
          <w:kern w:val="0"/>
          <w:sz w:val="32"/>
          <w:szCs w:val="32"/>
          <w:lang w:val="en-US" w:eastAsia="zh-CN"/>
        </w:rPr>
        <w:t>因工信局2022年人员变动，有4名人员退休。</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宋体" w:cs="宋体"/>
          <w:kern w:val="0"/>
          <w:sz w:val="32"/>
          <w:szCs w:val="32"/>
        </w:rPr>
      </w:pPr>
      <w:r>
        <w:rPr>
          <w:rFonts w:hint="eastAsia" w:ascii="Times New Roman" w:hAnsi="Times New Roman" w:cs="Times New Roman"/>
          <w:kern w:val="0"/>
          <w:sz w:val="32"/>
          <w:szCs w:val="32"/>
          <w:lang w:val="en-US" w:eastAsia="zh-CN"/>
        </w:rPr>
        <w:t>2</w:t>
      </w:r>
      <w:r>
        <w:rPr>
          <w:rFonts w:hint="eastAsia" w:ascii="宋体" w:hAnsi="宋体" w:eastAsia="宋体" w:cs="宋体"/>
          <w:kern w:val="0"/>
          <w:sz w:val="32"/>
          <w:szCs w:val="32"/>
        </w:rPr>
        <w:t>．行政事业单位养老支出（款）机关事业单位职业年金缴费支出（项）。年初预算</w:t>
      </w:r>
      <w:r>
        <w:rPr>
          <w:rFonts w:hint="default" w:ascii="Times New Roman" w:hAnsi="Times New Roman" w:eastAsia="宋体" w:cs="Times New Roman"/>
          <w:kern w:val="0"/>
          <w:sz w:val="32"/>
          <w:szCs w:val="32"/>
        </w:rPr>
        <w:t>12.3</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rPr>
        <w:t>22.12</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rPr>
        <w:t>179.84</w:t>
      </w:r>
      <w:r>
        <w:rPr>
          <w:rFonts w:hint="eastAsia" w:ascii="宋体" w:hAnsi="宋体" w:eastAsia="宋体" w:cs="宋体"/>
          <w:kern w:val="0"/>
          <w:sz w:val="32"/>
          <w:szCs w:val="32"/>
        </w:rPr>
        <w:t>%。决算数与年初预算数的差异原因：</w:t>
      </w:r>
      <w:r>
        <w:rPr>
          <w:rFonts w:hint="eastAsia" w:cs="宋体"/>
          <w:kern w:val="0"/>
          <w:sz w:val="32"/>
          <w:szCs w:val="32"/>
          <w:lang w:val="en-US" w:eastAsia="zh-CN"/>
        </w:rPr>
        <w:t>因工信局2022年人员变动，有4名人员退休</w:t>
      </w:r>
      <w:r>
        <w:rPr>
          <w:rFonts w:hint="eastAsia" w:ascii="宋体" w:hAnsi="宋体" w:eastAsia="宋体" w:cs="宋体"/>
          <w:kern w:val="0"/>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宋体" w:cs="宋体"/>
          <w:kern w:val="0"/>
          <w:sz w:val="24"/>
          <w:szCs w:val="24"/>
        </w:rPr>
      </w:pPr>
      <w:r>
        <w:rPr>
          <w:rFonts w:hint="eastAsia" w:ascii="宋体" w:hAnsi="宋体" w:eastAsia="宋体" w:cs="宋体"/>
          <w:color w:val="000000"/>
          <w:kern w:val="0"/>
          <w:sz w:val="32"/>
          <w:szCs w:val="32"/>
          <w:lang w:val="en-US" w:eastAsia="zh-CN" w:bidi="ar"/>
        </w:rPr>
        <w:t>3．其他社会保障和就业支出（款）其他社会保障和就业支出（项）。年初预算8.86万元，支出决算7.51万元，完成年初预算的84.7</w:t>
      </w:r>
      <w:r>
        <w:rPr>
          <w:rFonts w:hint="eastAsia" w:cs="宋体"/>
          <w:color w:val="000000"/>
          <w:kern w:val="0"/>
          <w:sz w:val="32"/>
          <w:szCs w:val="32"/>
          <w:lang w:val="en-US" w:eastAsia="zh-CN" w:bidi="ar"/>
        </w:rPr>
        <w:t>6</w:t>
      </w:r>
      <w:r>
        <w:rPr>
          <w:rFonts w:hint="eastAsia" w:ascii="宋体" w:hAnsi="宋体" w:eastAsia="宋体" w:cs="宋体"/>
          <w:color w:val="000000"/>
          <w:kern w:val="0"/>
          <w:sz w:val="32"/>
          <w:szCs w:val="32"/>
          <w:lang w:val="en-US" w:eastAsia="zh-CN" w:bidi="ar"/>
        </w:rPr>
        <w:t>%。决算数与年初预算数的差异原因：</w:t>
      </w:r>
      <w:r>
        <w:rPr>
          <w:rFonts w:hint="eastAsia" w:cs="宋体"/>
          <w:kern w:val="0"/>
          <w:sz w:val="32"/>
          <w:szCs w:val="32"/>
          <w:lang w:val="en-US" w:eastAsia="zh-CN"/>
        </w:rPr>
        <w:t>因工信局2022年人员变动，有4名人员退休</w:t>
      </w:r>
      <w:r>
        <w:rPr>
          <w:rFonts w:hint="eastAsia" w:ascii="宋体" w:hAnsi="宋体" w:eastAsia="宋体" w:cs="宋体"/>
          <w:color w:val="000000"/>
          <w:kern w:val="0"/>
          <w:sz w:val="32"/>
          <w:szCs w:val="32"/>
          <w:lang w:val="en-US" w:eastAsia="zh-CN" w:bidi="ar"/>
        </w:rPr>
        <w:t>。</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rPr>
        <w:t>）卫生健康支出（类）</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卫生健康支出类决算数为</w:t>
      </w:r>
      <w:r>
        <w:rPr>
          <w:rFonts w:hint="default" w:ascii="Times New Roman" w:hAnsi="Times New Roman" w:eastAsia="宋体" w:cs="Times New Roman"/>
          <w:kern w:val="0"/>
          <w:sz w:val="32"/>
          <w:szCs w:val="32"/>
        </w:rPr>
        <w:t>25.15</w:t>
      </w:r>
      <w:r>
        <w:rPr>
          <w:rFonts w:hint="eastAsia" w:ascii="宋体" w:hAnsi="宋体" w:eastAsia="宋体" w:cs="宋体"/>
          <w:kern w:val="0"/>
          <w:sz w:val="32"/>
          <w:szCs w:val="32"/>
        </w:rPr>
        <w:t>万元，与年初预算相比减少</w:t>
      </w:r>
      <w:r>
        <w:rPr>
          <w:rFonts w:hint="default" w:ascii="Times New Roman" w:hAnsi="Times New Roman" w:eastAsia="宋体" w:cs="Times New Roman"/>
          <w:kern w:val="0"/>
          <w:sz w:val="32"/>
          <w:szCs w:val="32"/>
        </w:rPr>
        <w:t>2.51</w:t>
      </w:r>
      <w:r>
        <w:rPr>
          <w:rFonts w:hint="eastAsia" w:ascii="宋体" w:hAnsi="宋体" w:eastAsia="宋体" w:cs="宋体"/>
          <w:kern w:val="0"/>
          <w:sz w:val="32"/>
          <w:szCs w:val="32"/>
        </w:rPr>
        <w:t>万元。其中：</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．行政事业单位医疗（款）行政单位医疗（项）。年初预算</w:t>
      </w:r>
      <w:r>
        <w:rPr>
          <w:rFonts w:hint="default" w:ascii="Times New Roman" w:hAnsi="Times New Roman" w:eastAsia="宋体" w:cs="Times New Roman"/>
          <w:kern w:val="0"/>
          <w:sz w:val="32"/>
          <w:szCs w:val="32"/>
        </w:rPr>
        <w:t>27.66</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rPr>
        <w:t>25.15</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rPr>
        <w:t>90.92</w:t>
      </w:r>
      <w:r>
        <w:rPr>
          <w:rFonts w:hint="eastAsia" w:ascii="宋体" w:hAnsi="宋体" w:eastAsia="宋体" w:cs="宋体"/>
          <w:kern w:val="0"/>
          <w:sz w:val="32"/>
          <w:szCs w:val="32"/>
        </w:rPr>
        <w:t>%。决算数与年初预算数的差异原因：因工信局2022年人员变动，有4名人员退休。</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四</w:t>
      </w:r>
      <w:r>
        <w:rPr>
          <w:rFonts w:hint="eastAsia" w:ascii="楷体" w:hAnsi="楷体" w:eastAsia="楷体" w:cs="楷体"/>
          <w:b/>
          <w:bCs/>
          <w:kern w:val="0"/>
          <w:sz w:val="32"/>
          <w:szCs w:val="32"/>
        </w:rPr>
        <w:t>）资源勘探工业信息等支出（类）</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资源勘探工业信息等支出类决算数为</w:t>
      </w:r>
      <w:r>
        <w:rPr>
          <w:rFonts w:hint="default" w:ascii="Times New Roman" w:hAnsi="Times New Roman" w:eastAsia="宋体" w:cs="Times New Roman"/>
          <w:kern w:val="0"/>
          <w:sz w:val="32"/>
          <w:szCs w:val="32"/>
        </w:rPr>
        <w:t>1937.74</w:t>
      </w:r>
      <w:r>
        <w:rPr>
          <w:rFonts w:hint="eastAsia" w:ascii="宋体" w:hAnsi="宋体" w:eastAsia="宋体" w:cs="宋体"/>
          <w:kern w:val="0"/>
          <w:sz w:val="32"/>
          <w:szCs w:val="32"/>
        </w:rPr>
        <w:t>万元，与年初预算相比增加692.93万元。其中：</w:t>
      </w:r>
    </w:p>
    <w:p>
      <w:pPr>
        <w:spacing w:before="0" w:beforeAutospacing="1" w:after="0" w:afterAutospacing="1" w:line="560" w:lineRule="atLeast"/>
        <w:ind w:left="0" w:right="0" w:rightChars="0" w:firstLine="640" w:firstLineChars="200"/>
        <w:jc w:val="both"/>
        <w:rPr>
          <w:rFonts w:hint="eastAsia" w:ascii="宋体" w:hAnsi="宋体" w:eastAsia="宋体" w:cs="宋体"/>
          <w:kern w:val="0"/>
          <w:sz w:val="32"/>
          <w:szCs w:val="32"/>
        </w:rPr>
      </w:pPr>
      <w:r>
        <w:rPr>
          <w:rFonts w:hint="eastAsia" w:ascii="宋体" w:hAnsi="宋体" w:eastAsia="宋体" w:cs="宋体"/>
          <w:kern w:val="0"/>
          <w:sz w:val="32"/>
          <w:szCs w:val="32"/>
        </w:rPr>
        <w:t>1.工业和信息产业监管（款）行政运行（项）。年初预算</w:t>
      </w:r>
      <w:r>
        <w:rPr>
          <w:rFonts w:hint="default" w:ascii="Times New Roman" w:hAnsi="Times New Roman" w:eastAsia="宋体" w:cs="Times New Roman"/>
          <w:kern w:val="0"/>
          <w:sz w:val="32"/>
          <w:szCs w:val="32"/>
        </w:rPr>
        <w:t>748.1</w:t>
      </w:r>
      <w:r>
        <w:rPr>
          <w:rFonts w:hint="eastAsia" w:ascii="Times New Roman" w:hAnsi="Times New Roman" w:eastAsia="宋体" w:cs="Times New Roman"/>
          <w:kern w:val="0"/>
          <w:sz w:val="32"/>
          <w:szCs w:val="32"/>
        </w:rPr>
        <w:t>8</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rPr>
        <w:t>738.9</w:t>
      </w:r>
      <w:r>
        <w:rPr>
          <w:rFonts w:hint="eastAsia" w:ascii="宋体" w:hAnsi="宋体" w:eastAsia="宋体" w:cs="宋体"/>
          <w:kern w:val="0"/>
          <w:sz w:val="32"/>
          <w:szCs w:val="32"/>
        </w:rPr>
        <w:t>万元，</w:t>
      </w:r>
      <w:r>
        <w:rPr>
          <w:rFonts w:hint="eastAsia" w:ascii="宋体" w:hAnsi="宋体" w:eastAsia="宋体" w:cs="宋体"/>
          <w:color w:val="000000"/>
          <w:kern w:val="0"/>
          <w:sz w:val="32"/>
          <w:szCs w:val="32"/>
          <w:lang w:val="en-US" w:eastAsia="zh-CN" w:bidi="ar"/>
        </w:rPr>
        <w:t>完成年初预算的</w:t>
      </w:r>
      <w:r>
        <w:rPr>
          <w:rFonts w:hint="eastAsia" w:cs="宋体"/>
          <w:color w:val="000000"/>
          <w:kern w:val="0"/>
          <w:sz w:val="32"/>
          <w:szCs w:val="32"/>
          <w:lang w:val="en-US" w:eastAsia="zh-CN" w:bidi="ar"/>
        </w:rPr>
        <w:t>98.76</w:t>
      </w:r>
      <w:r>
        <w:rPr>
          <w:rFonts w:hint="eastAsia" w:ascii="宋体" w:hAnsi="宋体" w:eastAsia="宋体" w:cs="宋体"/>
          <w:color w:val="000000"/>
          <w:kern w:val="0"/>
          <w:sz w:val="32"/>
          <w:szCs w:val="32"/>
          <w:lang w:val="en-US" w:eastAsia="zh-CN" w:bidi="ar"/>
        </w:rPr>
        <w:t>%</w:t>
      </w:r>
      <w:r>
        <w:rPr>
          <w:rFonts w:hint="eastAsia" w:ascii="宋体" w:hAnsi="宋体" w:eastAsia="宋体" w:cs="宋体"/>
          <w:kern w:val="0"/>
          <w:sz w:val="32"/>
          <w:szCs w:val="32"/>
        </w:rPr>
        <w:t>。决算数与年初预算数的差异原因：人员调整，费用减少。</w:t>
      </w:r>
    </w:p>
    <w:p>
      <w:pPr>
        <w:spacing w:before="0" w:beforeAutospacing="1" w:after="0" w:afterAutospacing="1" w:line="560" w:lineRule="atLeast"/>
        <w:ind w:left="0" w:firstLine="640"/>
        <w:jc w:val="both"/>
        <w:rPr>
          <w:rFonts w:hint="eastAsia" w:ascii="宋体" w:hAnsi="宋体" w:eastAsia="宋体" w:cs="宋体"/>
          <w:kern w:val="0"/>
          <w:sz w:val="32"/>
          <w:szCs w:val="32"/>
        </w:rPr>
      </w:pPr>
      <w:r>
        <w:rPr>
          <w:rFonts w:hint="eastAsia" w:ascii="Times New Roman" w:hAnsi="Times New Roman" w:eastAsia="宋体" w:cs="Times New Roman"/>
          <w:b w:val="0"/>
          <w:bCs w:val="0"/>
          <w:kern w:val="0"/>
          <w:sz w:val="32"/>
          <w:szCs w:val="32"/>
        </w:rPr>
        <w:t xml:space="preserve"> 2.</w:t>
      </w:r>
      <w:r>
        <w:rPr>
          <w:rFonts w:hint="eastAsia" w:ascii="宋体" w:hAnsi="宋体" w:eastAsia="宋体" w:cs="宋体"/>
          <w:kern w:val="0"/>
          <w:sz w:val="32"/>
          <w:szCs w:val="32"/>
        </w:rPr>
        <w:t>工业和信息产业监管（款）其他工业和信息产业监管支出（项）。年初预算</w:t>
      </w:r>
      <w:r>
        <w:rPr>
          <w:rFonts w:hint="default" w:ascii="Times New Roman" w:hAnsi="Times New Roman" w:eastAsia="宋体" w:cs="Times New Roman"/>
          <w:kern w:val="0"/>
          <w:sz w:val="32"/>
          <w:szCs w:val="32"/>
        </w:rPr>
        <w:t>496.6</w:t>
      </w:r>
      <w:r>
        <w:rPr>
          <w:rFonts w:hint="eastAsia" w:ascii="Times New Roman" w:hAnsi="Times New Roman" w:eastAsia="宋体" w:cs="Times New Roman"/>
          <w:kern w:val="0"/>
          <w:sz w:val="32"/>
          <w:szCs w:val="32"/>
        </w:rPr>
        <w:t>3</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rPr>
        <w:t>802.84</w:t>
      </w:r>
      <w:r>
        <w:rPr>
          <w:rFonts w:hint="eastAsia" w:ascii="宋体" w:hAnsi="宋体" w:eastAsia="宋体" w:cs="宋体"/>
          <w:kern w:val="0"/>
          <w:sz w:val="32"/>
          <w:szCs w:val="32"/>
        </w:rPr>
        <w:t>万元，</w:t>
      </w:r>
      <w:r>
        <w:rPr>
          <w:rFonts w:hint="eastAsia" w:ascii="宋体" w:hAnsi="宋体" w:eastAsia="宋体" w:cs="宋体"/>
          <w:color w:val="000000"/>
          <w:kern w:val="0"/>
          <w:sz w:val="32"/>
          <w:szCs w:val="32"/>
          <w:lang w:val="en-US" w:eastAsia="zh-CN" w:bidi="ar"/>
        </w:rPr>
        <w:t>完成年初预算的161.66%</w:t>
      </w:r>
      <w:r>
        <w:rPr>
          <w:rFonts w:hint="eastAsia" w:ascii="宋体" w:hAnsi="宋体" w:eastAsia="宋体" w:cs="宋体"/>
          <w:kern w:val="0"/>
          <w:sz w:val="32"/>
          <w:szCs w:val="32"/>
        </w:rPr>
        <w:t>。决算数与年初预算数的差异原因：因工作开展需要新增规划编制经费、咨询服务和项目评定费、纾困解难等项目。</w:t>
      </w:r>
    </w:p>
    <w:p>
      <w:pPr>
        <w:keepNext w:val="0"/>
        <w:keepLines w:val="0"/>
        <w:widowControl/>
        <w:suppressLineNumbers w:val="0"/>
        <w:autoSpaceDE w:val="0"/>
        <w:autoSpaceDN/>
        <w:spacing w:before="0" w:beforeAutospacing="1" w:after="0" w:afterAutospacing="1"/>
        <w:ind w:left="0" w:firstLine="640" w:firstLineChars="200"/>
        <w:jc w:val="both"/>
        <w:rPr>
          <w:rFonts w:hint="eastAsia" w:ascii="宋体" w:hAnsi="宋体" w:eastAsia="宋体" w:cs="宋体"/>
          <w:kern w:val="0"/>
          <w:sz w:val="24"/>
          <w:szCs w:val="24"/>
        </w:rPr>
      </w:pPr>
      <w:r>
        <w:rPr>
          <w:rFonts w:hint="eastAsia" w:ascii="宋体" w:hAnsi="宋体" w:eastAsia="宋体" w:cs="宋体"/>
          <w:kern w:val="0"/>
          <w:sz w:val="32"/>
          <w:szCs w:val="32"/>
        </w:rPr>
        <w:t>3.支持中小企业发展和管理支出（款）其他支持中小企业发展和管理支出（项）。年初预算</w:t>
      </w:r>
      <w:r>
        <w:rPr>
          <w:rFonts w:hint="eastAsia" w:ascii="Times New Roman" w:hAnsi="Times New Roman" w:eastAsia="宋体" w:cs="Times New Roman"/>
          <w:kern w:val="0"/>
          <w:sz w:val="32"/>
          <w:szCs w:val="32"/>
        </w:rPr>
        <w:t>0</w:t>
      </w:r>
      <w:r>
        <w:rPr>
          <w:rFonts w:hint="eastAsia" w:ascii="宋体" w:hAnsi="宋体" w:eastAsia="宋体" w:cs="宋体"/>
          <w:kern w:val="0"/>
          <w:sz w:val="32"/>
          <w:szCs w:val="32"/>
        </w:rPr>
        <w:t>万元，支出决算</w:t>
      </w:r>
      <w:r>
        <w:rPr>
          <w:rFonts w:hint="eastAsia" w:ascii="Times New Roman" w:hAnsi="Times New Roman" w:eastAsia="宋体" w:cs="Times New Roman"/>
          <w:kern w:val="0"/>
          <w:sz w:val="32"/>
          <w:szCs w:val="32"/>
        </w:rPr>
        <w:t>396</w:t>
      </w:r>
      <w:r>
        <w:rPr>
          <w:rFonts w:hint="eastAsia" w:ascii="宋体" w:hAnsi="宋体" w:eastAsia="宋体" w:cs="宋体"/>
          <w:kern w:val="0"/>
          <w:sz w:val="32"/>
          <w:szCs w:val="32"/>
        </w:rPr>
        <w:t>万元，</w:t>
      </w:r>
      <w:r>
        <w:rPr>
          <w:rFonts w:hint="eastAsia" w:ascii="宋体" w:hAnsi="宋体" w:eastAsia="宋体" w:cs="宋体"/>
          <w:color w:val="000000"/>
          <w:kern w:val="0"/>
          <w:sz w:val="32"/>
          <w:szCs w:val="32"/>
          <w:lang w:val="en-US" w:eastAsia="zh-CN" w:bidi="ar"/>
        </w:rPr>
        <w:t>完成年初预算的100%</w:t>
      </w:r>
      <w:r>
        <w:rPr>
          <w:rFonts w:hint="eastAsia" w:ascii="宋体" w:hAnsi="宋体" w:eastAsia="宋体" w:cs="宋体"/>
          <w:kern w:val="0"/>
          <w:sz w:val="32"/>
          <w:szCs w:val="32"/>
        </w:rPr>
        <w:t>。决算数与年初预算数的差异原因：新增其他支持中小企业发展和管理支出。</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 xml:space="preserve"> </w:t>
      </w:r>
      <w:r>
        <w:rPr>
          <w:rFonts w:hint="eastAsia" w:ascii="楷体" w:hAnsi="楷体" w:eastAsia="楷体" w:cs="楷体"/>
          <w:b/>
          <w:bCs/>
          <w:kern w:val="0"/>
          <w:sz w:val="32"/>
          <w:szCs w:val="32"/>
        </w:rPr>
        <w:t>（五）住房保障支出（类）</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住房保障支出类决算数为</w:t>
      </w:r>
      <w:r>
        <w:rPr>
          <w:rFonts w:hint="default" w:ascii="Times New Roman" w:hAnsi="Times New Roman" w:eastAsia="宋体" w:cs="Times New Roman"/>
          <w:kern w:val="0"/>
          <w:sz w:val="32"/>
          <w:szCs w:val="32"/>
        </w:rPr>
        <w:t>32.92</w:t>
      </w:r>
      <w:r>
        <w:rPr>
          <w:rFonts w:hint="eastAsia" w:ascii="宋体" w:hAnsi="宋体" w:eastAsia="宋体" w:cs="宋体"/>
          <w:kern w:val="0"/>
          <w:sz w:val="32"/>
          <w:szCs w:val="32"/>
        </w:rPr>
        <w:t>万元，与年初预算相比减少</w:t>
      </w:r>
      <w:r>
        <w:rPr>
          <w:rFonts w:hint="default" w:ascii="Times New Roman" w:hAnsi="Times New Roman" w:eastAsia="宋体" w:cs="Times New Roman"/>
          <w:kern w:val="0"/>
          <w:sz w:val="32"/>
          <w:szCs w:val="32"/>
        </w:rPr>
        <w:t>5.68</w:t>
      </w:r>
      <w:r>
        <w:rPr>
          <w:rFonts w:hint="eastAsia" w:ascii="宋体" w:hAnsi="宋体" w:eastAsia="宋体" w:cs="宋体"/>
          <w:kern w:val="0"/>
          <w:sz w:val="32"/>
          <w:szCs w:val="32"/>
        </w:rPr>
        <w:t>万元。其中：</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．住房改革支出（款）住房公积金（项）。年初预算</w:t>
      </w:r>
      <w:r>
        <w:rPr>
          <w:rFonts w:hint="default" w:ascii="Times New Roman" w:hAnsi="Times New Roman" w:eastAsia="宋体" w:cs="Times New Roman"/>
          <w:kern w:val="0"/>
          <w:sz w:val="32"/>
          <w:szCs w:val="32"/>
        </w:rPr>
        <w:t>38.60</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0"/>
          <w:szCs w:val="30"/>
        </w:rPr>
        <w:t>32.92</w:t>
      </w:r>
      <w:r>
        <w:rPr>
          <w:rFonts w:hint="eastAsia" w:ascii="宋体" w:hAnsi="宋体" w:eastAsia="宋体" w:cs="宋体"/>
          <w:kern w:val="0"/>
          <w:sz w:val="32"/>
          <w:szCs w:val="32"/>
        </w:rPr>
        <w:t>万元，完成年初预算的</w:t>
      </w:r>
      <w:r>
        <w:rPr>
          <w:rFonts w:hint="default" w:ascii="Times New Roman" w:hAnsi="Times New Roman" w:eastAsia="宋体" w:cs="Times New Roman"/>
          <w:kern w:val="0"/>
          <w:sz w:val="32"/>
          <w:szCs w:val="32"/>
        </w:rPr>
        <w:t>85.29</w:t>
      </w:r>
      <w:r>
        <w:rPr>
          <w:rFonts w:hint="eastAsia" w:ascii="宋体" w:hAnsi="宋体" w:eastAsia="宋体" w:cs="宋体"/>
          <w:kern w:val="0"/>
          <w:sz w:val="32"/>
          <w:szCs w:val="32"/>
        </w:rPr>
        <w:t>%。决算数与年初预算数的差异原因：因工信局2022年人员变动，有4名人员退休，相应费用减少。</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黑体" w:hAnsi="宋体" w:eastAsia="黑体" w:cs="黑体"/>
          <w:b/>
          <w:bCs/>
          <w:kern w:val="0"/>
          <w:sz w:val="32"/>
          <w:szCs w:val="32"/>
        </w:rPr>
        <w:t>六、一般公共预算基本支出决算情况说明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内蒙古自治区鄂尔多斯市工业和信息化局（本级）单位2022年度一般公共预算财政拨款基本支出决算</w:t>
      </w:r>
      <w:r>
        <w:rPr>
          <w:rFonts w:hint="default" w:ascii="Times New Roman" w:hAnsi="Times New Roman" w:eastAsia="宋体" w:cs="Times New Roman"/>
          <w:kern w:val="0"/>
          <w:sz w:val="32"/>
          <w:szCs w:val="32"/>
        </w:rPr>
        <w:t>862.5</w:t>
      </w:r>
      <w:r>
        <w:rPr>
          <w:rFonts w:hint="eastAsia" w:ascii="Times New Roman" w:hAnsi="Times New Roman" w:cs="Times New Roman"/>
          <w:kern w:val="0"/>
          <w:sz w:val="32"/>
          <w:szCs w:val="32"/>
          <w:lang w:val="en-US" w:eastAsia="zh-CN"/>
        </w:rPr>
        <w:t>8</w:t>
      </w:r>
      <w:r>
        <w:rPr>
          <w:rFonts w:hint="eastAsia" w:ascii="宋体" w:hAnsi="宋体" w:eastAsia="宋体" w:cs="宋体"/>
          <w:kern w:val="0"/>
          <w:sz w:val="32"/>
          <w:szCs w:val="32"/>
        </w:rPr>
        <w:t>万元，其中：</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（一）人员经费</w:t>
      </w:r>
      <w:r>
        <w:rPr>
          <w:rFonts w:hint="default" w:ascii="Times New Roman" w:hAnsi="Times New Roman" w:eastAsia="宋体" w:cs="Times New Roman"/>
          <w:b/>
          <w:bCs/>
          <w:kern w:val="0"/>
          <w:sz w:val="32"/>
          <w:szCs w:val="32"/>
        </w:rPr>
        <w:t>789.10</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。主要包括：基本工资147.99万元、津贴补贴277.56万元、奖金0万元、</w:t>
      </w:r>
      <w:r>
        <w:rPr>
          <w:rFonts w:hint="eastAsia" w:cs="宋体"/>
          <w:kern w:val="0"/>
          <w:sz w:val="32"/>
          <w:szCs w:val="32"/>
          <w:lang w:val="en-US" w:eastAsia="zh-CN"/>
        </w:rPr>
        <w:t>机关事</w:t>
      </w:r>
      <w:bookmarkStart w:id="0" w:name="_GoBack"/>
      <w:bookmarkEnd w:id="0"/>
      <w:r>
        <w:rPr>
          <w:rFonts w:hint="eastAsia" w:cs="宋体"/>
          <w:kern w:val="0"/>
          <w:sz w:val="32"/>
          <w:szCs w:val="32"/>
          <w:lang w:val="en-US" w:eastAsia="zh-CN"/>
        </w:rPr>
        <w:t>业单位基本养老保险缴费43.89</w:t>
      </w:r>
      <w:r>
        <w:rPr>
          <w:rFonts w:hint="eastAsia" w:ascii="宋体" w:hAnsi="宋体" w:eastAsia="宋体" w:cs="宋体"/>
          <w:kern w:val="0"/>
          <w:sz w:val="32"/>
          <w:szCs w:val="32"/>
        </w:rPr>
        <w:t>万元、</w:t>
      </w:r>
      <w:r>
        <w:rPr>
          <w:rFonts w:hint="eastAsia" w:cs="宋体"/>
          <w:kern w:val="0"/>
          <w:sz w:val="32"/>
          <w:szCs w:val="32"/>
          <w:lang w:val="en-US" w:eastAsia="zh-CN"/>
        </w:rPr>
        <w:t>职业年金缴费22.12万元、职工基本医疗保险缴费18.72万元、公务员医疗补助缴费6.43万元、其他社会保障缴费7.51万元、</w:t>
      </w:r>
      <w:r>
        <w:rPr>
          <w:rFonts w:hint="eastAsia" w:ascii="宋体" w:hAnsi="宋体" w:eastAsia="宋体" w:cs="宋体"/>
          <w:kern w:val="0"/>
          <w:sz w:val="32"/>
          <w:szCs w:val="32"/>
        </w:rPr>
        <w:t>伙食补助费0万元、绩效工资0万元、其他工资福利支出231.43万元、离休费0万元、退休费0万元、抚恤金0万元、生活补助0.52万元、医疗费0万元、奖励金0万元、住房公积金32.92万元、提租补贴0万元、其他对个人和家庭的补助支出0万元等。</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（二）公用经费</w:t>
      </w:r>
      <w:r>
        <w:rPr>
          <w:rFonts w:hint="default" w:ascii="Times New Roman" w:hAnsi="Times New Roman" w:eastAsia="宋体" w:cs="Times New Roman"/>
          <w:b/>
          <w:bCs/>
          <w:kern w:val="0"/>
          <w:sz w:val="32"/>
          <w:szCs w:val="32"/>
        </w:rPr>
        <w:t>73.48</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办公费1.07万元、印刷费0.05万元、咨询费0万元、手续费0万元、水费0万元、电费0万元、邮电费0.78万元、取暖费0万元、物业管理费0万元、差旅费0.94万元、维修（护）费0万元、租赁费0万元、会议费0.83万元、培训费0.16万元、公务接待费0.32万元、专用材料费0.05万元、劳务费8.44万元、委托业务费0.20万元、工会经费3.67万元、福利费7.64万元、公务用车运行维护费0.96万元、其他交通费用46.17万元、其他商品和服务支出0.9万元、办公设备购置1.28万元、专用设备购置0万元、信息网络及软件购置更新0万元、其他资本性支出0万元等。</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七、一般公共预算项目支出决算情况说明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内蒙古自治区鄂尔多斯市工业和信息化局（本级）单位2022年度一般公共预算财政拨款项目支出决算</w:t>
      </w:r>
      <w:r>
        <w:rPr>
          <w:rFonts w:hint="default" w:ascii="Times New Roman" w:hAnsi="Times New Roman" w:eastAsia="宋体" w:cs="Times New Roman"/>
          <w:kern w:val="0"/>
          <w:sz w:val="32"/>
          <w:szCs w:val="32"/>
        </w:rPr>
        <w:t>1,221.05</w:t>
      </w:r>
      <w:r>
        <w:rPr>
          <w:rFonts w:hint="eastAsia" w:ascii="宋体" w:hAnsi="宋体" w:eastAsia="宋体" w:cs="宋体"/>
          <w:kern w:val="0"/>
          <w:sz w:val="32"/>
          <w:szCs w:val="32"/>
        </w:rPr>
        <w:t>万元，其中：</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color w:val="000000"/>
          <w:kern w:val="0"/>
          <w:sz w:val="32"/>
          <w:szCs w:val="32"/>
        </w:rPr>
        <w:t>（一）工资福利支出</w:t>
      </w:r>
      <w:r>
        <w:rPr>
          <w:rFonts w:hint="default" w:ascii="Times New Roman" w:hAnsi="Times New Roman" w:eastAsia="宋体" w:cs="Times New Roman"/>
          <w:b/>
          <w:bCs/>
          <w:color w:val="000000"/>
          <w:kern w:val="0"/>
          <w:sz w:val="32"/>
          <w:szCs w:val="32"/>
        </w:rPr>
        <w:t>0</w:t>
      </w:r>
      <w:r>
        <w:rPr>
          <w:rFonts w:hint="eastAsia" w:ascii="宋体" w:hAnsi="宋体" w:eastAsia="宋体" w:cs="宋体"/>
          <w:b/>
          <w:bCs/>
          <w:color w:val="000000"/>
          <w:kern w:val="0"/>
          <w:sz w:val="32"/>
          <w:szCs w:val="32"/>
        </w:rPr>
        <w:t>万元</w:t>
      </w:r>
      <w:r>
        <w:rPr>
          <w:rFonts w:hint="eastAsia" w:ascii="宋体" w:hAnsi="宋体" w:eastAsia="宋体" w:cs="宋体"/>
          <w:color w:val="000000"/>
          <w:kern w:val="0"/>
          <w:sz w:val="32"/>
          <w:szCs w:val="32"/>
        </w:rPr>
        <w:t>。主要包括：基本工资</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、津贴补贴</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、奖金</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、伙食补助费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、绩效工资</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、机关事业单位基本养老保险缴费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、职业年金缴费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、职工基本医疗保险缴费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、公务员医疗补助缴费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、其他社会保障缴费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、住房公积金</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、医疗费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、其他工资福利支出</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等。</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cs="宋体"/>
          <w:color w:val="000000"/>
          <w:kern w:val="0"/>
          <w:sz w:val="32"/>
          <w:szCs w:val="32"/>
          <w:lang w:val="en-US" w:eastAsia="zh-CN"/>
        </w:rPr>
      </w:pPr>
      <w:r>
        <w:rPr>
          <w:rFonts w:hint="eastAsia" w:ascii="宋体" w:hAnsi="宋体" w:eastAsia="宋体" w:cs="宋体"/>
          <w:b/>
          <w:bCs/>
          <w:color w:val="000000"/>
          <w:kern w:val="0"/>
          <w:sz w:val="32"/>
          <w:szCs w:val="32"/>
        </w:rPr>
        <w:t>（二）商品和服务支出</w:t>
      </w:r>
      <w:r>
        <w:rPr>
          <w:rFonts w:hint="default" w:ascii="Times New Roman" w:hAnsi="Times New Roman" w:eastAsia="宋体" w:cs="Times New Roman"/>
          <w:b/>
          <w:bCs/>
          <w:color w:val="000000"/>
          <w:kern w:val="0"/>
          <w:sz w:val="32"/>
          <w:szCs w:val="32"/>
        </w:rPr>
        <w:t>773.38</w:t>
      </w:r>
      <w:r>
        <w:rPr>
          <w:rFonts w:hint="eastAsia" w:ascii="宋体" w:hAnsi="宋体" w:eastAsia="宋体" w:cs="宋体"/>
          <w:b/>
          <w:bCs/>
          <w:color w:val="000000"/>
          <w:kern w:val="0"/>
          <w:sz w:val="32"/>
          <w:szCs w:val="32"/>
        </w:rPr>
        <w:t>万元</w:t>
      </w:r>
      <w:r>
        <w:rPr>
          <w:rFonts w:hint="eastAsia" w:ascii="宋体" w:hAnsi="宋体" w:eastAsia="宋体" w:cs="宋体"/>
          <w:color w:val="000000"/>
          <w:kern w:val="0"/>
          <w:sz w:val="32"/>
          <w:szCs w:val="32"/>
        </w:rPr>
        <w:t>。主要包括：办公费</w:t>
      </w:r>
      <w:r>
        <w:rPr>
          <w:rFonts w:hint="eastAsia" w:ascii="宋体" w:hAnsi="宋体" w:eastAsia="宋体" w:cs="宋体"/>
          <w:kern w:val="0"/>
          <w:sz w:val="32"/>
          <w:szCs w:val="32"/>
        </w:rPr>
        <w:t>26.02万元</w:t>
      </w:r>
      <w:r>
        <w:rPr>
          <w:rFonts w:hint="eastAsia" w:ascii="宋体" w:hAnsi="宋体" w:eastAsia="宋体" w:cs="宋体"/>
          <w:color w:val="000000"/>
          <w:kern w:val="0"/>
          <w:sz w:val="32"/>
          <w:szCs w:val="32"/>
        </w:rPr>
        <w:t>、印刷费</w:t>
      </w:r>
      <w:r>
        <w:rPr>
          <w:rFonts w:hint="eastAsia" w:ascii="宋体" w:hAnsi="宋体" w:eastAsia="宋体" w:cs="宋体"/>
          <w:kern w:val="0"/>
          <w:sz w:val="32"/>
          <w:szCs w:val="32"/>
        </w:rPr>
        <w:t>37.98万元</w:t>
      </w:r>
      <w:r>
        <w:rPr>
          <w:rFonts w:hint="eastAsia" w:ascii="宋体" w:hAnsi="宋体" w:eastAsia="宋体" w:cs="宋体"/>
          <w:color w:val="000000"/>
          <w:kern w:val="0"/>
          <w:sz w:val="32"/>
          <w:szCs w:val="32"/>
        </w:rPr>
        <w:t>、咨询费</w:t>
      </w:r>
      <w:r>
        <w:rPr>
          <w:rFonts w:hint="eastAsia" w:ascii="宋体" w:hAnsi="宋体" w:eastAsia="宋体" w:cs="宋体"/>
          <w:kern w:val="0"/>
          <w:sz w:val="32"/>
          <w:szCs w:val="32"/>
        </w:rPr>
        <w:t>19.75万元</w:t>
      </w:r>
      <w:r>
        <w:rPr>
          <w:rFonts w:hint="eastAsia" w:ascii="宋体" w:hAnsi="宋体" w:eastAsia="宋体" w:cs="宋体"/>
          <w:color w:val="000000"/>
          <w:kern w:val="0"/>
          <w:sz w:val="32"/>
          <w:szCs w:val="32"/>
        </w:rPr>
        <w:t>、手续费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、水费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、电费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、邮电费</w:t>
      </w:r>
      <w:r>
        <w:rPr>
          <w:rFonts w:hint="eastAsia" w:cs="宋体"/>
          <w:kern w:val="0"/>
          <w:sz w:val="32"/>
          <w:szCs w:val="32"/>
          <w:lang w:val="en-US" w:eastAsia="zh-CN"/>
        </w:rPr>
        <w:t>1.08</w:t>
      </w:r>
      <w:r>
        <w:rPr>
          <w:rFonts w:hint="eastAsia" w:ascii="宋体" w:hAnsi="宋体" w:eastAsia="宋体" w:cs="宋体"/>
          <w:kern w:val="0"/>
          <w:sz w:val="32"/>
          <w:szCs w:val="32"/>
        </w:rPr>
        <w:t>万元</w:t>
      </w:r>
      <w:r>
        <w:rPr>
          <w:rFonts w:hint="eastAsia" w:ascii="宋体" w:hAnsi="宋体" w:eastAsia="宋体" w:cs="宋体"/>
          <w:color w:val="000000"/>
          <w:kern w:val="0"/>
          <w:sz w:val="32"/>
          <w:szCs w:val="32"/>
        </w:rPr>
        <w:t>、取暖费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、物业管理费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、差旅费</w:t>
      </w:r>
      <w:r>
        <w:rPr>
          <w:rFonts w:hint="eastAsia" w:ascii="宋体" w:hAnsi="宋体" w:eastAsia="宋体" w:cs="宋体"/>
          <w:kern w:val="0"/>
          <w:sz w:val="32"/>
          <w:szCs w:val="32"/>
        </w:rPr>
        <w:t>45.19万元</w:t>
      </w:r>
      <w:r>
        <w:rPr>
          <w:rFonts w:hint="eastAsia" w:ascii="宋体" w:hAnsi="宋体" w:eastAsia="宋体" w:cs="宋体"/>
          <w:color w:val="000000"/>
          <w:kern w:val="0"/>
          <w:sz w:val="32"/>
          <w:szCs w:val="32"/>
        </w:rPr>
        <w:t>、因公出国（境）费用</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、维修（护）费</w:t>
      </w:r>
      <w:r>
        <w:rPr>
          <w:rFonts w:hint="eastAsia" w:ascii="宋体" w:hAnsi="宋体" w:eastAsia="宋体" w:cs="宋体"/>
          <w:kern w:val="0"/>
          <w:sz w:val="32"/>
          <w:szCs w:val="32"/>
        </w:rPr>
        <w:t>3.78万元</w:t>
      </w:r>
      <w:r>
        <w:rPr>
          <w:rFonts w:hint="eastAsia" w:ascii="宋体" w:hAnsi="宋体" w:eastAsia="宋体" w:cs="宋体"/>
          <w:color w:val="000000"/>
          <w:kern w:val="0"/>
          <w:sz w:val="32"/>
          <w:szCs w:val="32"/>
        </w:rPr>
        <w:t>、租赁费</w:t>
      </w:r>
      <w:r>
        <w:rPr>
          <w:rFonts w:hint="eastAsia" w:ascii="宋体" w:hAnsi="宋体" w:eastAsia="宋体" w:cs="宋体"/>
          <w:kern w:val="0"/>
          <w:sz w:val="32"/>
          <w:szCs w:val="32"/>
        </w:rPr>
        <w:t>0.84万元</w:t>
      </w:r>
      <w:r>
        <w:rPr>
          <w:rFonts w:hint="eastAsia" w:ascii="宋体" w:hAnsi="宋体" w:eastAsia="宋体" w:cs="宋体"/>
          <w:color w:val="000000"/>
          <w:kern w:val="0"/>
          <w:sz w:val="32"/>
          <w:szCs w:val="32"/>
        </w:rPr>
        <w:t>、会议费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、培训费</w:t>
      </w:r>
      <w:r>
        <w:rPr>
          <w:rFonts w:hint="eastAsia" w:ascii="宋体" w:hAnsi="宋体" w:eastAsia="宋体" w:cs="宋体"/>
          <w:kern w:val="0"/>
          <w:sz w:val="32"/>
          <w:szCs w:val="32"/>
        </w:rPr>
        <w:t>10.53万元</w:t>
      </w:r>
      <w:r>
        <w:rPr>
          <w:rFonts w:hint="eastAsia" w:ascii="宋体" w:hAnsi="宋体" w:eastAsia="宋体" w:cs="宋体"/>
          <w:color w:val="000000"/>
          <w:kern w:val="0"/>
          <w:sz w:val="32"/>
          <w:szCs w:val="32"/>
        </w:rPr>
        <w:t>、公务接待费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、专用材料费</w:t>
      </w:r>
      <w:r>
        <w:rPr>
          <w:rFonts w:hint="eastAsia" w:ascii="宋体" w:hAnsi="宋体" w:eastAsia="宋体" w:cs="宋体"/>
          <w:kern w:val="0"/>
          <w:sz w:val="32"/>
          <w:szCs w:val="32"/>
        </w:rPr>
        <w:t>8.1万元</w:t>
      </w:r>
      <w:r>
        <w:rPr>
          <w:rFonts w:hint="eastAsia" w:ascii="宋体" w:hAnsi="宋体" w:eastAsia="宋体" w:cs="宋体"/>
          <w:color w:val="000000"/>
          <w:kern w:val="0"/>
          <w:sz w:val="32"/>
          <w:szCs w:val="32"/>
        </w:rPr>
        <w:t>、被装购置费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、专用燃料费</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、劳务费</w:t>
      </w:r>
      <w:r>
        <w:rPr>
          <w:rFonts w:hint="eastAsia" w:ascii="宋体" w:hAnsi="宋体" w:eastAsia="宋体" w:cs="宋体"/>
          <w:kern w:val="0"/>
          <w:sz w:val="32"/>
          <w:szCs w:val="32"/>
        </w:rPr>
        <w:t>13.09万元</w:t>
      </w:r>
      <w:r>
        <w:rPr>
          <w:rFonts w:hint="eastAsia" w:ascii="宋体" w:hAnsi="宋体" w:eastAsia="宋体" w:cs="宋体"/>
          <w:color w:val="000000"/>
          <w:kern w:val="0"/>
          <w:sz w:val="32"/>
          <w:szCs w:val="32"/>
        </w:rPr>
        <w:t>、委托业务费</w:t>
      </w:r>
      <w:r>
        <w:rPr>
          <w:rFonts w:hint="eastAsia" w:ascii="宋体" w:hAnsi="宋体" w:eastAsia="宋体" w:cs="宋体"/>
          <w:kern w:val="0"/>
          <w:sz w:val="32"/>
          <w:szCs w:val="32"/>
        </w:rPr>
        <w:t>156.79万元</w:t>
      </w:r>
      <w:r>
        <w:rPr>
          <w:rFonts w:hint="eastAsia" w:ascii="宋体" w:hAnsi="宋体" w:eastAsia="宋体" w:cs="宋体"/>
          <w:color w:val="000000"/>
          <w:kern w:val="0"/>
          <w:sz w:val="32"/>
          <w:szCs w:val="32"/>
        </w:rPr>
        <w:t>、福利费</w:t>
      </w:r>
      <w:r>
        <w:rPr>
          <w:rFonts w:hint="eastAsia" w:ascii="宋体" w:hAnsi="宋体" w:eastAsia="宋体" w:cs="宋体"/>
          <w:kern w:val="0"/>
          <w:sz w:val="32"/>
          <w:szCs w:val="32"/>
        </w:rPr>
        <w:t>0.6万元</w:t>
      </w:r>
      <w:r>
        <w:rPr>
          <w:rFonts w:hint="eastAsia" w:ascii="宋体" w:hAnsi="宋体" w:eastAsia="宋体" w:cs="宋体"/>
          <w:color w:val="000000"/>
          <w:kern w:val="0"/>
          <w:sz w:val="32"/>
          <w:szCs w:val="32"/>
        </w:rPr>
        <w:t>、公务用车运行维护费</w:t>
      </w:r>
      <w:r>
        <w:rPr>
          <w:rFonts w:hint="eastAsia" w:ascii="宋体" w:hAnsi="宋体" w:eastAsia="宋体" w:cs="宋体"/>
          <w:kern w:val="0"/>
          <w:sz w:val="32"/>
          <w:szCs w:val="32"/>
        </w:rPr>
        <w:t>16.03万元</w:t>
      </w:r>
      <w:r>
        <w:rPr>
          <w:rFonts w:hint="eastAsia" w:ascii="宋体" w:hAnsi="宋体" w:eastAsia="宋体" w:cs="宋体"/>
          <w:color w:val="000000"/>
          <w:kern w:val="0"/>
          <w:sz w:val="32"/>
          <w:szCs w:val="32"/>
        </w:rPr>
        <w:t>、其他交通费用</w:t>
      </w:r>
      <w:r>
        <w:rPr>
          <w:rFonts w:hint="eastAsia" w:ascii="宋体" w:hAnsi="宋体" w:eastAsia="宋体" w:cs="宋体"/>
          <w:kern w:val="0"/>
          <w:sz w:val="32"/>
          <w:szCs w:val="32"/>
        </w:rPr>
        <w:t>14.76万元</w:t>
      </w:r>
      <w:r>
        <w:rPr>
          <w:rFonts w:hint="eastAsia" w:ascii="宋体" w:hAnsi="宋体" w:eastAsia="宋体" w:cs="宋体"/>
          <w:color w:val="000000"/>
          <w:kern w:val="0"/>
          <w:sz w:val="32"/>
          <w:szCs w:val="32"/>
        </w:rPr>
        <w:t>、税金及附加费用</w:t>
      </w:r>
      <w:r>
        <w:rPr>
          <w:rFonts w:hint="eastAsia" w:ascii="宋体" w:hAnsi="宋体" w:eastAsia="宋体" w:cs="宋体"/>
          <w:kern w:val="0"/>
          <w:sz w:val="32"/>
          <w:szCs w:val="32"/>
        </w:rPr>
        <w:t>0万元</w:t>
      </w:r>
      <w:r>
        <w:rPr>
          <w:rFonts w:hint="eastAsia" w:ascii="宋体" w:hAnsi="宋体" w:eastAsia="宋体" w:cs="宋体"/>
          <w:color w:val="000000"/>
          <w:kern w:val="0"/>
          <w:sz w:val="32"/>
          <w:szCs w:val="32"/>
        </w:rPr>
        <w:t>、其他商品和服务支出</w:t>
      </w:r>
      <w:r>
        <w:rPr>
          <w:rFonts w:hint="eastAsia" w:ascii="宋体" w:hAnsi="宋体" w:eastAsia="宋体" w:cs="宋体"/>
          <w:kern w:val="0"/>
          <w:sz w:val="32"/>
          <w:szCs w:val="32"/>
        </w:rPr>
        <w:t>418.12万元</w:t>
      </w:r>
      <w:r>
        <w:rPr>
          <w:rFonts w:hint="eastAsia" w:ascii="宋体" w:hAnsi="宋体" w:eastAsia="宋体" w:cs="宋体"/>
          <w:color w:val="000000"/>
          <w:kern w:val="0"/>
          <w:sz w:val="32"/>
          <w:szCs w:val="32"/>
        </w:rPr>
        <w:t>等。</w:t>
      </w:r>
      <w:r>
        <w:rPr>
          <w:rFonts w:hint="eastAsia" w:cs="宋体"/>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kern w:val="0"/>
          <w:sz w:val="32"/>
          <w:szCs w:val="32"/>
        </w:rPr>
      </w:pPr>
      <w:r>
        <w:rPr>
          <w:rFonts w:hint="eastAsia" w:ascii="宋体" w:hAnsi="宋体" w:eastAsia="宋体" w:cs="宋体"/>
          <w:b/>
          <w:bCs/>
          <w:kern w:val="0"/>
          <w:sz w:val="32"/>
          <w:szCs w:val="32"/>
        </w:rPr>
        <w:t>（三）对个人和家庭的补助</w:t>
      </w:r>
      <w:r>
        <w:rPr>
          <w:rFonts w:hint="eastAsia" w:ascii="宋体" w:hAnsi="宋体" w:eastAsia="宋体" w:cs="宋体"/>
          <w:b/>
          <w:bCs/>
          <w:kern w:val="0"/>
          <w:sz w:val="32"/>
          <w:szCs w:val="32"/>
          <w:lang w:val="en-US" w:eastAsia="zh-CN"/>
        </w:rPr>
        <w:t>36.20</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w:t>
      </w:r>
      <w:r>
        <w:rPr>
          <w:rFonts w:hint="eastAsia" w:ascii="宋体" w:hAnsi="宋体" w:eastAsia="宋体" w:cs="宋体"/>
          <w:kern w:val="0"/>
          <w:sz w:val="32"/>
          <w:szCs w:val="32"/>
          <w:lang w:val="en-US" w:eastAsia="zh-CN"/>
        </w:rPr>
        <w:t>生活补助6.62万元、</w:t>
      </w:r>
      <w:r>
        <w:rPr>
          <w:rFonts w:hint="eastAsia" w:ascii="宋体" w:hAnsi="宋体" w:eastAsia="宋体" w:cs="宋体"/>
          <w:kern w:val="0"/>
          <w:sz w:val="32"/>
          <w:szCs w:val="32"/>
        </w:rPr>
        <w:t>其他对个人和家庭的补助</w:t>
      </w:r>
      <w:r>
        <w:rPr>
          <w:rFonts w:hint="eastAsia" w:cs="宋体"/>
          <w:kern w:val="0"/>
          <w:sz w:val="32"/>
          <w:szCs w:val="32"/>
          <w:lang w:val="en-US" w:eastAsia="zh-CN"/>
        </w:rPr>
        <w:t>29.58</w:t>
      </w:r>
      <w:r>
        <w:rPr>
          <w:rFonts w:hint="eastAsia" w:ascii="宋体" w:hAnsi="宋体" w:eastAsia="宋体" w:cs="宋体"/>
          <w:kern w:val="0"/>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kern w:val="0"/>
          <w:sz w:val="32"/>
          <w:szCs w:val="32"/>
        </w:rPr>
      </w:pPr>
      <w:r>
        <w:rPr>
          <w:rFonts w:hint="eastAsia" w:ascii="宋体" w:hAnsi="宋体" w:eastAsia="宋体" w:cs="宋体"/>
          <w:b/>
          <w:bCs/>
          <w:kern w:val="0"/>
          <w:sz w:val="32"/>
          <w:szCs w:val="32"/>
        </w:rPr>
        <w:t>（四）债务利息及费用支出0.00万元。</w:t>
      </w:r>
      <w:r>
        <w:rPr>
          <w:rFonts w:hint="eastAsia" w:ascii="宋体" w:hAnsi="宋体" w:eastAsia="宋体" w:cs="宋体"/>
          <w:kern w:val="0"/>
          <w:sz w:val="32"/>
          <w:szCs w:val="32"/>
        </w:rPr>
        <w:t>主要包括：国内债务付息0.00万元、国外债务付息0.00万元、国内债务发行费用0.00万元、国外债务发行费用0.00万元。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kern w:val="0"/>
          <w:sz w:val="32"/>
          <w:szCs w:val="32"/>
        </w:rPr>
      </w:pPr>
      <w:r>
        <w:rPr>
          <w:rFonts w:hint="eastAsia" w:ascii="宋体" w:hAnsi="宋体" w:eastAsia="宋体" w:cs="宋体"/>
          <w:b/>
          <w:bCs/>
          <w:kern w:val="0"/>
          <w:sz w:val="32"/>
          <w:szCs w:val="32"/>
        </w:rPr>
        <w:t>（五）资本性支出（基本建设）0.00万元。</w:t>
      </w:r>
      <w:r>
        <w:rPr>
          <w:rFonts w:hint="eastAsia" w:ascii="宋体" w:hAnsi="宋体" w:eastAsia="宋体" w:cs="宋体"/>
          <w:kern w:val="0"/>
          <w:sz w:val="32"/>
          <w:szCs w:val="32"/>
        </w:rPr>
        <w:t>主要包括：房屋建筑物购建0.00万元、办公设备购置0.00万元、专用设备购置0.00万元、基础设施建设0.00万元、大型修缮0.00万元、信息网络及软件购置更新0.00万元、物资储备0.00万元、公务用车购置0.00万元、其他交通工具购置0.00万元、文物和陈列品购置0.00万元、无形资产购置0.00万元、其他基本建设支出0.00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kern w:val="0"/>
          <w:sz w:val="32"/>
          <w:szCs w:val="32"/>
        </w:rPr>
      </w:pPr>
      <w:r>
        <w:rPr>
          <w:rFonts w:hint="eastAsia" w:ascii="宋体" w:hAnsi="宋体" w:eastAsia="宋体" w:cs="宋体"/>
          <w:b/>
          <w:bCs/>
          <w:kern w:val="0"/>
          <w:sz w:val="32"/>
          <w:szCs w:val="32"/>
        </w:rPr>
        <w:t>（六）资本性支出</w:t>
      </w:r>
      <w:r>
        <w:rPr>
          <w:rFonts w:hint="eastAsia" w:ascii="宋体" w:hAnsi="宋体" w:eastAsia="宋体" w:cs="宋体"/>
          <w:b/>
          <w:bCs/>
          <w:kern w:val="0"/>
          <w:sz w:val="32"/>
          <w:szCs w:val="32"/>
          <w:lang w:val="en-US" w:eastAsia="zh-CN"/>
        </w:rPr>
        <w:t>15.46</w:t>
      </w:r>
      <w:r>
        <w:rPr>
          <w:rFonts w:hint="eastAsia" w:ascii="宋体" w:hAnsi="宋体" w:eastAsia="宋体" w:cs="宋体"/>
          <w:b/>
          <w:bCs/>
          <w:kern w:val="0"/>
          <w:sz w:val="32"/>
          <w:szCs w:val="32"/>
        </w:rPr>
        <w:t>万元。</w:t>
      </w:r>
      <w:r>
        <w:rPr>
          <w:rFonts w:hint="eastAsia" w:ascii="宋体" w:hAnsi="宋体" w:eastAsia="宋体" w:cs="宋体"/>
          <w:kern w:val="0"/>
          <w:sz w:val="32"/>
          <w:szCs w:val="32"/>
        </w:rPr>
        <w:t>主要包括：房屋建筑物购建</w:t>
      </w:r>
      <w:r>
        <w:rPr>
          <w:rFonts w:hint="eastAsia" w:ascii="宋体" w:hAnsi="宋体" w:eastAsia="宋体" w:cs="宋体"/>
          <w:kern w:val="0"/>
          <w:sz w:val="32"/>
          <w:szCs w:val="32"/>
          <w:lang w:val="en-US" w:eastAsia="zh-CN"/>
        </w:rPr>
        <w:t>0.28万元、</w:t>
      </w:r>
      <w:r>
        <w:rPr>
          <w:rFonts w:hint="eastAsia" w:ascii="宋体" w:hAnsi="宋体" w:eastAsia="宋体" w:cs="宋体"/>
          <w:kern w:val="0"/>
          <w:sz w:val="32"/>
          <w:szCs w:val="32"/>
        </w:rPr>
        <w:t>办公设备购置</w:t>
      </w:r>
      <w:r>
        <w:rPr>
          <w:rFonts w:hint="eastAsia" w:ascii="宋体" w:hAnsi="宋体" w:eastAsia="宋体" w:cs="宋体"/>
          <w:kern w:val="0"/>
          <w:sz w:val="32"/>
          <w:szCs w:val="32"/>
          <w:lang w:val="en-US" w:eastAsia="zh-CN"/>
        </w:rPr>
        <w:t>14.70</w:t>
      </w:r>
      <w:r>
        <w:rPr>
          <w:rFonts w:hint="eastAsia" w:ascii="宋体" w:hAnsi="宋体" w:eastAsia="宋体" w:cs="宋体"/>
          <w:kern w:val="0"/>
          <w:sz w:val="32"/>
          <w:szCs w:val="32"/>
        </w:rPr>
        <w:t>万元</w:t>
      </w:r>
      <w:r>
        <w:rPr>
          <w:rFonts w:hint="eastAsia" w:ascii="宋体" w:hAnsi="宋体" w:eastAsia="宋体" w:cs="宋体"/>
          <w:kern w:val="0"/>
          <w:sz w:val="32"/>
          <w:szCs w:val="32"/>
          <w:lang w:eastAsia="zh-CN"/>
        </w:rPr>
        <w:t>、专用设备购置</w:t>
      </w:r>
      <w:r>
        <w:rPr>
          <w:rFonts w:hint="eastAsia" w:ascii="宋体" w:hAnsi="宋体" w:eastAsia="宋体" w:cs="宋体"/>
          <w:kern w:val="0"/>
          <w:sz w:val="32"/>
          <w:szCs w:val="32"/>
          <w:lang w:val="en-US" w:eastAsia="zh-CN"/>
        </w:rPr>
        <w:t>0.48万元</w:t>
      </w:r>
      <w:r>
        <w:rPr>
          <w:rFonts w:hint="eastAsia" w:ascii="宋体" w:hAnsi="宋体" w:eastAsia="宋体" w:cs="宋体"/>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kern w:val="0"/>
          <w:sz w:val="32"/>
          <w:szCs w:val="32"/>
        </w:rPr>
      </w:pPr>
      <w:r>
        <w:rPr>
          <w:rFonts w:hint="eastAsia" w:ascii="宋体" w:hAnsi="宋体" w:eastAsia="宋体" w:cs="宋体"/>
          <w:b/>
          <w:bCs/>
          <w:kern w:val="0"/>
          <w:sz w:val="32"/>
          <w:szCs w:val="32"/>
        </w:rPr>
        <w:t>（七）对企业补助（基本建设）0.00万元。</w:t>
      </w:r>
      <w:r>
        <w:rPr>
          <w:rFonts w:hint="eastAsia" w:ascii="宋体" w:hAnsi="宋体" w:eastAsia="宋体" w:cs="宋体"/>
          <w:kern w:val="0"/>
          <w:sz w:val="32"/>
          <w:szCs w:val="32"/>
        </w:rPr>
        <w:t>主要包括：资本金注入0.00万元、其他对企业补助0.00万元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kern w:val="0"/>
          <w:sz w:val="32"/>
          <w:szCs w:val="32"/>
        </w:rPr>
      </w:pPr>
      <w:r>
        <w:rPr>
          <w:rFonts w:hint="eastAsia" w:ascii="宋体" w:hAnsi="宋体" w:eastAsia="宋体" w:cs="宋体"/>
          <w:b/>
          <w:bCs/>
          <w:kern w:val="0"/>
          <w:sz w:val="32"/>
          <w:szCs w:val="32"/>
        </w:rPr>
        <w:t>（八）对企业补助</w:t>
      </w:r>
      <w:r>
        <w:rPr>
          <w:rFonts w:hint="eastAsia" w:ascii="宋体" w:hAnsi="宋体" w:eastAsia="宋体" w:cs="宋体"/>
          <w:b/>
          <w:bCs/>
          <w:kern w:val="0"/>
          <w:sz w:val="32"/>
          <w:szCs w:val="32"/>
          <w:lang w:val="en-US" w:eastAsia="zh-CN"/>
        </w:rPr>
        <w:t>396</w:t>
      </w:r>
      <w:r>
        <w:rPr>
          <w:rFonts w:hint="eastAsia" w:ascii="宋体" w:hAnsi="宋体" w:eastAsia="宋体" w:cs="宋体"/>
          <w:b/>
          <w:bCs/>
          <w:kern w:val="0"/>
          <w:sz w:val="32"/>
          <w:szCs w:val="32"/>
        </w:rPr>
        <w:t>.00万元。</w:t>
      </w:r>
      <w:r>
        <w:rPr>
          <w:rFonts w:hint="eastAsia" w:ascii="宋体" w:hAnsi="宋体" w:eastAsia="宋体" w:cs="宋体"/>
          <w:kern w:val="0"/>
          <w:sz w:val="32"/>
          <w:szCs w:val="32"/>
        </w:rPr>
        <w:t>主要包括：其他对企业补助</w:t>
      </w:r>
      <w:r>
        <w:rPr>
          <w:rFonts w:hint="eastAsia" w:ascii="宋体" w:hAnsi="宋体" w:eastAsia="宋体" w:cs="宋体"/>
          <w:kern w:val="0"/>
          <w:sz w:val="32"/>
          <w:szCs w:val="32"/>
          <w:lang w:val="en-US" w:eastAsia="zh-CN"/>
        </w:rPr>
        <w:t>396</w:t>
      </w:r>
      <w:r>
        <w:rPr>
          <w:rFonts w:hint="eastAsia" w:ascii="宋体" w:hAnsi="宋体" w:eastAsia="宋体" w:cs="宋体"/>
          <w:kern w:val="0"/>
          <w:sz w:val="32"/>
          <w:szCs w:val="32"/>
        </w:rPr>
        <w:t>.00万元。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kern w:val="0"/>
          <w:sz w:val="32"/>
          <w:szCs w:val="32"/>
        </w:rPr>
      </w:pPr>
      <w:r>
        <w:rPr>
          <w:rFonts w:hint="eastAsia" w:ascii="宋体" w:hAnsi="宋体" w:eastAsia="宋体" w:cs="宋体"/>
          <w:b/>
          <w:bCs/>
          <w:kern w:val="0"/>
          <w:sz w:val="32"/>
          <w:szCs w:val="32"/>
        </w:rPr>
        <w:t>（九）对社会保障基金补助0.00万元。</w:t>
      </w:r>
      <w:r>
        <w:rPr>
          <w:rFonts w:hint="eastAsia" w:ascii="宋体" w:hAnsi="宋体" w:eastAsia="宋体" w:cs="宋体"/>
          <w:kern w:val="0"/>
          <w:sz w:val="32"/>
          <w:szCs w:val="32"/>
        </w:rPr>
        <w:t>主要包括：对社会保险基金补助0.00万元、补充全国社会保障基金0.00万元、对机关事业单位职业年金的补助0.00万元。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kern w:val="0"/>
          <w:sz w:val="32"/>
          <w:szCs w:val="32"/>
        </w:rPr>
      </w:pPr>
      <w:r>
        <w:rPr>
          <w:rFonts w:hint="eastAsia" w:ascii="宋体" w:hAnsi="宋体" w:eastAsia="宋体" w:cs="宋体"/>
          <w:b/>
          <w:bCs/>
          <w:kern w:val="0"/>
          <w:sz w:val="32"/>
          <w:szCs w:val="32"/>
        </w:rPr>
        <w:t>（十）其他支出0.00万元。</w:t>
      </w:r>
      <w:r>
        <w:rPr>
          <w:rFonts w:hint="eastAsia" w:ascii="宋体" w:hAnsi="宋体" w:eastAsia="宋体" w:cs="宋体"/>
          <w:kern w:val="0"/>
          <w:sz w:val="32"/>
          <w:szCs w:val="32"/>
        </w:rPr>
        <w:t>主要包括：国家赔偿费用支出0.00万元、对民间非营利组织和群众性自治组织补贴0.00万元、经常性赠与0.00万元、资本性赠与0.00万元、其他支出0.00万元。</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八、</w:t>
      </w:r>
      <w:r>
        <w:rPr>
          <w:rFonts w:hint="eastAsia" w:ascii="黑体" w:hAnsi="宋体" w:eastAsia="黑体" w:cs="黑体"/>
          <w:b/>
          <w:bCs/>
          <w:kern w:val="0"/>
          <w:sz w:val="32"/>
          <w:szCs w:val="32"/>
        </w:rPr>
        <w:t>财政拨款</w:t>
      </w:r>
      <w:r>
        <w:rPr>
          <w:rFonts w:hint="default" w:ascii="Times New Roman" w:hAnsi="Times New Roman" w:eastAsia="宋体" w:cs="Times New Roman"/>
          <w:b/>
          <w:bCs/>
          <w:kern w:val="0"/>
          <w:sz w:val="32"/>
          <w:szCs w:val="32"/>
        </w:rPr>
        <w:t>“</w:t>
      </w:r>
      <w:r>
        <w:rPr>
          <w:rFonts w:hint="eastAsia" w:ascii="黑体" w:hAnsi="宋体" w:eastAsia="黑体" w:cs="黑体"/>
          <w:b/>
          <w:bCs/>
          <w:kern w:val="0"/>
          <w:sz w:val="32"/>
          <w:szCs w:val="32"/>
        </w:rPr>
        <w:t>三公</w:t>
      </w:r>
      <w:r>
        <w:rPr>
          <w:rFonts w:hint="default" w:ascii="Times New Roman" w:hAnsi="Times New Roman" w:eastAsia="宋体" w:cs="Times New Roman"/>
          <w:b/>
          <w:bCs/>
          <w:kern w:val="0"/>
          <w:sz w:val="32"/>
          <w:szCs w:val="32"/>
        </w:rPr>
        <w:t>”</w:t>
      </w:r>
      <w:r>
        <w:rPr>
          <w:rFonts w:hint="eastAsia" w:ascii="黑体" w:hAnsi="宋体" w:eastAsia="黑体" w:cs="黑体"/>
          <w:b/>
          <w:bCs/>
          <w:kern w:val="0"/>
          <w:sz w:val="32"/>
          <w:szCs w:val="32"/>
        </w:rPr>
        <w:t>经费支出决算情况说明</w:t>
      </w:r>
    </w:p>
    <w:p>
      <w:pPr>
        <w:keepNext/>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（一）财政拨款</w:t>
      </w:r>
      <w:r>
        <w:rPr>
          <w:rFonts w:hint="default" w:ascii="Times New Roman" w:hAnsi="Times New Roman" w:eastAsia="宋体" w:cs="Times New Roman"/>
          <w:b/>
          <w:bCs/>
          <w:kern w:val="0"/>
          <w:sz w:val="32"/>
          <w:szCs w:val="32"/>
        </w:rPr>
        <w:t>“</w:t>
      </w:r>
      <w:r>
        <w:rPr>
          <w:rFonts w:hint="eastAsia" w:ascii="楷体" w:hAnsi="楷体" w:eastAsia="楷体" w:cs="楷体"/>
          <w:b/>
          <w:bCs/>
          <w:kern w:val="0"/>
          <w:sz w:val="32"/>
          <w:szCs w:val="32"/>
        </w:rPr>
        <w:t>三公</w:t>
      </w:r>
      <w:r>
        <w:rPr>
          <w:rFonts w:hint="default" w:ascii="Times New Roman" w:hAnsi="Times New Roman" w:eastAsia="宋体" w:cs="Times New Roman"/>
          <w:b/>
          <w:bCs/>
          <w:kern w:val="0"/>
          <w:sz w:val="32"/>
          <w:szCs w:val="32"/>
        </w:rPr>
        <w:t>”</w:t>
      </w:r>
      <w:r>
        <w:rPr>
          <w:rFonts w:hint="eastAsia" w:ascii="楷体" w:hAnsi="楷体" w:eastAsia="楷体" w:cs="楷体"/>
          <w:b/>
          <w:bCs/>
          <w:kern w:val="0"/>
          <w:sz w:val="32"/>
          <w:szCs w:val="32"/>
        </w:rPr>
        <w:t>经费支出总体情况说明。</w:t>
      </w:r>
    </w:p>
    <w:p>
      <w:pPr>
        <w:spacing w:before="0" w:beforeAutospacing="1" w:after="0" w:afterAutospacing="1" w:line="560" w:lineRule="atLeast"/>
        <w:ind w:left="0" w:firstLine="641"/>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w:t>
      </w:r>
      <w:r>
        <w:rPr>
          <w:rFonts w:hint="default" w:ascii="Times New Roman" w:hAnsi="Times New Roman" w:eastAsia="宋体" w:cs="Times New Roman"/>
          <w:kern w:val="0"/>
          <w:sz w:val="32"/>
          <w:szCs w:val="32"/>
        </w:rPr>
        <w:t xml:space="preserve"> </w:t>
      </w:r>
      <w:r>
        <w:rPr>
          <w:rFonts w:hint="eastAsia" w:ascii="宋体" w:hAnsi="宋体" w:eastAsia="宋体" w:cs="宋体"/>
          <w:kern w:val="0"/>
          <w:sz w:val="32"/>
          <w:szCs w:val="32"/>
        </w:rPr>
        <w:t>2022年度财政拨款</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三公</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经费预算</w:t>
      </w:r>
      <w:r>
        <w:rPr>
          <w:rFonts w:hint="default" w:ascii="Times New Roman" w:hAnsi="Times New Roman" w:eastAsia="宋体" w:cs="Times New Roman"/>
          <w:kern w:val="0"/>
          <w:sz w:val="32"/>
          <w:szCs w:val="32"/>
        </w:rPr>
        <w:t>26.44</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rPr>
        <w:t>17.31</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rPr>
        <w:t>65.47</w:t>
      </w:r>
      <w:r>
        <w:rPr>
          <w:rFonts w:hint="eastAsia" w:ascii="宋体" w:hAnsi="宋体" w:eastAsia="宋体" w:cs="宋体"/>
          <w:kern w:val="0"/>
          <w:sz w:val="32"/>
          <w:szCs w:val="32"/>
        </w:rPr>
        <w:t>%。其中：因公出国（境）费预算</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%；公务用车购置及运行维护费预算</w:t>
      </w:r>
      <w:r>
        <w:rPr>
          <w:rFonts w:hint="default" w:ascii="Times New Roman" w:hAnsi="Times New Roman" w:eastAsia="宋体" w:cs="Times New Roman"/>
          <w:kern w:val="0"/>
          <w:sz w:val="32"/>
          <w:szCs w:val="32"/>
        </w:rPr>
        <w:t>21.94</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rPr>
        <w:t>16.99</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rPr>
        <w:t>77.44</w:t>
      </w:r>
      <w:r>
        <w:rPr>
          <w:rFonts w:hint="eastAsia" w:ascii="宋体" w:hAnsi="宋体" w:eastAsia="宋体" w:cs="宋体"/>
          <w:kern w:val="0"/>
          <w:sz w:val="32"/>
          <w:szCs w:val="32"/>
        </w:rPr>
        <w:t>%；公务接待费预算</w:t>
      </w:r>
      <w:r>
        <w:rPr>
          <w:rFonts w:hint="default" w:ascii="Times New Roman" w:hAnsi="Times New Roman" w:eastAsia="宋体" w:cs="Times New Roman"/>
          <w:kern w:val="0"/>
          <w:sz w:val="32"/>
          <w:szCs w:val="32"/>
        </w:rPr>
        <w:t>4.5</w:t>
      </w:r>
      <w:r>
        <w:rPr>
          <w:rFonts w:hint="eastAsia" w:ascii="宋体" w:hAnsi="宋体" w:eastAsia="宋体" w:cs="宋体"/>
          <w:kern w:val="0"/>
          <w:sz w:val="32"/>
          <w:szCs w:val="32"/>
        </w:rPr>
        <w:t>万元，支出决算</w:t>
      </w:r>
      <w:r>
        <w:rPr>
          <w:rFonts w:hint="default" w:ascii="Times New Roman" w:hAnsi="Times New Roman" w:eastAsia="宋体" w:cs="Times New Roman"/>
          <w:kern w:val="0"/>
          <w:sz w:val="32"/>
          <w:szCs w:val="32"/>
        </w:rPr>
        <w:t>0.32</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rPr>
        <w:t>7.10</w:t>
      </w:r>
      <w:r>
        <w:rPr>
          <w:rFonts w:hint="eastAsia" w:ascii="宋体" w:hAnsi="宋体" w:eastAsia="宋体" w:cs="宋体"/>
          <w:kern w:val="0"/>
          <w:sz w:val="32"/>
          <w:szCs w:val="32"/>
        </w:rPr>
        <w:t>%。2022年度财政拨款</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三公</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经费支出决算与预算差异原因：本着节约俭省的原则压缩三公费用的开支。</w:t>
      </w:r>
    </w:p>
    <w:p>
      <w:pPr>
        <w:keepNext/>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（二）财政拨款</w:t>
      </w:r>
      <w:r>
        <w:rPr>
          <w:rFonts w:hint="default" w:ascii="Times New Roman" w:hAnsi="Times New Roman" w:eastAsia="宋体" w:cs="Times New Roman"/>
          <w:b/>
          <w:bCs/>
          <w:kern w:val="0"/>
          <w:sz w:val="32"/>
          <w:szCs w:val="32"/>
        </w:rPr>
        <w:t>“</w:t>
      </w:r>
      <w:r>
        <w:rPr>
          <w:rFonts w:hint="eastAsia" w:ascii="楷体" w:hAnsi="楷体" w:eastAsia="楷体" w:cs="楷体"/>
          <w:b/>
          <w:bCs/>
          <w:kern w:val="0"/>
          <w:sz w:val="32"/>
          <w:szCs w:val="32"/>
        </w:rPr>
        <w:t>三公</w:t>
      </w:r>
      <w:r>
        <w:rPr>
          <w:rFonts w:hint="default" w:ascii="Times New Roman" w:hAnsi="Times New Roman" w:eastAsia="宋体" w:cs="Times New Roman"/>
          <w:b/>
          <w:bCs/>
          <w:kern w:val="0"/>
          <w:sz w:val="32"/>
          <w:szCs w:val="32"/>
        </w:rPr>
        <w:t>”</w:t>
      </w:r>
      <w:r>
        <w:rPr>
          <w:rFonts w:hint="eastAsia" w:ascii="楷体" w:hAnsi="楷体" w:eastAsia="楷体" w:cs="楷体"/>
          <w:b/>
          <w:bCs/>
          <w:kern w:val="0"/>
          <w:sz w:val="32"/>
          <w:szCs w:val="32"/>
        </w:rPr>
        <w:t>经费支出具体情况说明。</w:t>
      </w:r>
    </w:p>
    <w:p>
      <w:pPr>
        <w:keepNext/>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内蒙古自治区鄂尔多斯市工业和信息化局（本级）单位2022年度财政拨款</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三公</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经费支出</w:t>
      </w:r>
      <w:r>
        <w:rPr>
          <w:rFonts w:hint="default" w:ascii="Times New Roman" w:hAnsi="Times New Roman" w:eastAsia="宋体" w:cs="Times New Roman"/>
          <w:kern w:val="0"/>
          <w:sz w:val="32"/>
          <w:szCs w:val="32"/>
        </w:rPr>
        <w:t>17.31</w:t>
      </w:r>
      <w:r>
        <w:rPr>
          <w:rFonts w:hint="eastAsia" w:ascii="宋体" w:hAnsi="宋体" w:eastAsia="宋体" w:cs="宋体"/>
          <w:kern w:val="0"/>
          <w:sz w:val="32"/>
          <w:szCs w:val="32"/>
        </w:rPr>
        <w:t>万元。因公出国（境）费支出</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%；公务用车购置及运行维护费支出</w:t>
      </w:r>
      <w:r>
        <w:rPr>
          <w:rFonts w:hint="default" w:ascii="Times New Roman" w:hAnsi="Times New Roman" w:eastAsia="宋体" w:cs="Times New Roman"/>
          <w:kern w:val="0"/>
          <w:sz w:val="32"/>
          <w:szCs w:val="32"/>
        </w:rPr>
        <w:t>16.99</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98.15</w:t>
      </w:r>
      <w:r>
        <w:rPr>
          <w:rFonts w:hint="eastAsia" w:ascii="宋体" w:hAnsi="宋体" w:eastAsia="宋体" w:cs="宋体"/>
          <w:kern w:val="0"/>
          <w:sz w:val="32"/>
          <w:szCs w:val="32"/>
        </w:rPr>
        <w:t>%；公务接待费支出</w:t>
      </w:r>
      <w:r>
        <w:rPr>
          <w:rFonts w:hint="default" w:ascii="Times New Roman" w:hAnsi="Times New Roman" w:eastAsia="宋体" w:cs="Times New Roman"/>
          <w:kern w:val="0"/>
          <w:sz w:val="32"/>
          <w:szCs w:val="32"/>
        </w:rPr>
        <w:t>0.32</w:t>
      </w:r>
      <w:r>
        <w:rPr>
          <w:rFonts w:hint="eastAsia" w:ascii="宋体" w:hAnsi="宋体" w:eastAsia="宋体" w:cs="宋体"/>
          <w:kern w:val="0"/>
          <w:sz w:val="32"/>
          <w:szCs w:val="32"/>
        </w:rPr>
        <w:t>万元，占</w:t>
      </w:r>
      <w:r>
        <w:rPr>
          <w:rFonts w:hint="default" w:ascii="Times New Roman" w:hAnsi="Times New Roman" w:eastAsia="宋体" w:cs="Times New Roman"/>
          <w:kern w:val="0"/>
          <w:sz w:val="32"/>
          <w:szCs w:val="32"/>
        </w:rPr>
        <w:t>1.85</w:t>
      </w:r>
      <w:r>
        <w:rPr>
          <w:rFonts w:hint="eastAsia" w:ascii="宋体" w:hAnsi="宋体" w:eastAsia="宋体" w:cs="宋体"/>
          <w:kern w:val="0"/>
          <w:sz w:val="32"/>
          <w:szCs w:val="32"/>
        </w:rPr>
        <w:t>%。其中：</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因公出国（境）费支出</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万元，全年出国（境）团组</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个，累计</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人次。与上年决算相比，增加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%，变动原因：本单位本年度无此项目。</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公务用车购置及运行维护费支出</w:t>
      </w:r>
      <w:r>
        <w:rPr>
          <w:rFonts w:hint="default" w:ascii="Times New Roman" w:hAnsi="Times New Roman" w:eastAsia="宋体" w:cs="Times New Roman"/>
          <w:kern w:val="0"/>
          <w:sz w:val="32"/>
          <w:szCs w:val="32"/>
        </w:rPr>
        <w:t>16.99</w:t>
      </w:r>
      <w:r>
        <w:rPr>
          <w:rFonts w:hint="eastAsia" w:ascii="宋体" w:hAnsi="宋体" w:eastAsia="宋体" w:cs="宋体"/>
          <w:kern w:val="0"/>
          <w:sz w:val="32"/>
          <w:szCs w:val="32"/>
        </w:rPr>
        <w:t>万元。其中：</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1</w:t>
      </w:r>
      <w:r>
        <w:rPr>
          <w:rFonts w:hint="eastAsia" w:ascii="宋体" w:hAnsi="宋体" w:eastAsia="宋体" w:cs="宋体"/>
          <w:kern w:val="0"/>
          <w:sz w:val="32"/>
          <w:szCs w:val="32"/>
        </w:rPr>
        <w:t>）公务用车购置支出</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万元。本年度使用财政拨款购置公务用车</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辆，开支内容：无。与上年决算相比，增加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%，变动原因：本单位本年度无此项目。</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2</w:t>
      </w:r>
      <w:r>
        <w:rPr>
          <w:rFonts w:hint="eastAsia" w:ascii="宋体" w:hAnsi="宋体" w:eastAsia="宋体" w:cs="宋体"/>
          <w:kern w:val="0"/>
          <w:sz w:val="32"/>
          <w:szCs w:val="32"/>
        </w:rPr>
        <w:t>）公务用车运行维护费支出</w:t>
      </w:r>
      <w:r>
        <w:rPr>
          <w:rFonts w:hint="default" w:ascii="Times New Roman" w:hAnsi="Times New Roman" w:eastAsia="宋体" w:cs="Times New Roman"/>
          <w:kern w:val="0"/>
          <w:sz w:val="32"/>
          <w:szCs w:val="32"/>
        </w:rPr>
        <w:t>16.99</w:t>
      </w:r>
      <w:r>
        <w:rPr>
          <w:rFonts w:hint="eastAsia" w:ascii="宋体" w:hAnsi="宋体" w:eastAsia="宋体" w:cs="宋体"/>
          <w:kern w:val="0"/>
          <w:sz w:val="32"/>
          <w:szCs w:val="32"/>
        </w:rPr>
        <w:t>万元。公务用车运行维护费主要用于按规定保留的公务用车的燃料费、维修费、过桥过路费、保险费、安全奖励费用等支出。截至</w:t>
      </w:r>
      <w:r>
        <w:rPr>
          <w:rFonts w:hint="default" w:ascii="Times New Roman" w:hAnsi="Times New Roman" w:eastAsia="宋体" w:cs="Times New Roman"/>
          <w:kern w:val="0"/>
          <w:sz w:val="32"/>
          <w:szCs w:val="32"/>
        </w:rPr>
        <w:t>2022</w:t>
      </w:r>
      <w:r>
        <w:rPr>
          <w:rFonts w:hint="eastAsia" w:ascii="宋体" w:hAnsi="宋体" w:eastAsia="宋体" w:cs="宋体"/>
          <w:kern w:val="0"/>
          <w:sz w:val="32"/>
          <w:szCs w:val="32"/>
        </w:rPr>
        <w:t>年</w:t>
      </w:r>
      <w:r>
        <w:rPr>
          <w:rFonts w:hint="default" w:ascii="Times New Roman" w:hAnsi="Times New Roman" w:eastAsia="宋体" w:cs="Times New Roman"/>
          <w:kern w:val="0"/>
          <w:sz w:val="32"/>
          <w:szCs w:val="32"/>
        </w:rPr>
        <w:t>12</w:t>
      </w:r>
      <w:r>
        <w:rPr>
          <w:rFonts w:hint="eastAsia" w:ascii="宋体" w:hAnsi="宋体" w:eastAsia="宋体" w:cs="宋体"/>
          <w:kern w:val="0"/>
          <w:sz w:val="32"/>
          <w:szCs w:val="32"/>
        </w:rPr>
        <w:t>月</w:t>
      </w:r>
      <w:r>
        <w:rPr>
          <w:rFonts w:hint="default" w:ascii="Times New Roman" w:hAnsi="Times New Roman" w:eastAsia="宋体" w:cs="Times New Roman"/>
          <w:kern w:val="0"/>
          <w:sz w:val="32"/>
          <w:szCs w:val="32"/>
        </w:rPr>
        <w:t>31</w:t>
      </w:r>
      <w:r>
        <w:rPr>
          <w:rFonts w:hint="eastAsia" w:ascii="宋体" w:hAnsi="宋体" w:eastAsia="宋体" w:cs="宋体"/>
          <w:kern w:val="0"/>
          <w:sz w:val="32"/>
          <w:szCs w:val="32"/>
        </w:rPr>
        <w:t>日，使用财政拨款开支的公务用车保有量为</w:t>
      </w:r>
      <w:r>
        <w:rPr>
          <w:rFonts w:hint="default" w:ascii="Times New Roman" w:hAnsi="Times New Roman" w:eastAsia="宋体" w:cs="Times New Roman"/>
          <w:kern w:val="0"/>
          <w:sz w:val="32"/>
          <w:szCs w:val="32"/>
        </w:rPr>
        <w:t>9</w:t>
      </w:r>
      <w:r>
        <w:rPr>
          <w:rFonts w:hint="eastAsia" w:ascii="宋体" w:hAnsi="宋体" w:eastAsia="宋体" w:cs="宋体"/>
          <w:kern w:val="0"/>
          <w:sz w:val="32"/>
          <w:szCs w:val="32"/>
        </w:rPr>
        <w:t>辆。与上年决算相比，增加</w:t>
      </w:r>
      <w:r>
        <w:rPr>
          <w:rFonts w:hint="default" w:ascii="Times New Roman" w:hAnsi="Times New Roman" w:eastAsia="宋体" w:cs="Times New Roman"/>
          <w:kern w:val="0"/>
          <w:sz w:val="32"/>
          <w:szCs w:val="32"/>
        </w:rPr>
        <w:t>2.85</w:t>
      </w:r>
      <w:r>
        <w:rPr>
          <w:rFonts w:hint="eastAsia" w:ascii="宋体" w:hAnsi="宋体" w:eastAsia="宋体" w:cs="宋体"/>
          <w:kern w:val="0"/>
          <w:sz w:val="32"/>
          <w:szCs w:val="32"/>
        </w:rPr>
        <w:t>万元，增长</w:t>
      </w:r>
      <w:r>
        <w:rPr>
          <w:rFonts w:hint="default" w:ascii="Times New Roman" w:hAnsi="Times New Roman" w:eastAsia="宋体" w:cs="Times New Roman"/>
          <w:kern w:val="0"/>
          <w:sz w:val="30"/>
          <w:szCs w:val="30"/>
        </w:rPr>
        <w:t>20.18</w:t>
      </w:r>
      <w:r>
        <w:rPr>
          <w:rFonts w:hint="eastAsia" w:ascii="宋体" w:hAnsi="宋体" w:eastAsia="宋体" w:cs="宋体"/>
          <w:kern w:val="0"/>
          <w:sz w:val="32"/>
          <w:szCs w:val="32"/>
        </w:rPr>
        <w:t>%，变动原因：2022年工信局加强安全、大力招商引资等方面的工作，相应费用也随之增加。</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default" w:ascii="Times New Roman" w:hAnsi="Times New Roman" w:eastAsia="宋体" w:cs="Times New Roman"/>
          <w:kern w:val="0"/>
          <w:sz w:val="32"/>
          <w:szCs w:val="32"/>
        </w:rPr>
        <w:t>3.</w:t>
      </w:r>
      <w:r>
        <w:rPr>
          <w:rFonts w:hint="eastAsia" w:ascii="宋体" w:hAnsi="宋体" w:eastAsia="宋体" w:cs="宋体"/>
          <w:kern w:val="0"/>
          <w:sz w:val="32"/>
          <w:szCs w:val="32"/>
        </w:rPr>
        <w:t>公务接待费支出</w:t>
      </w:r>
      <w:r>
        <w:rPr>
          <w:rFonts w:hint="default" w:ascii="Times New Roman" w:hAnsi="Times New Roman" w:eastAsia="宋体" w:cs="Times New Roman"/>
          <w:kern w:val="0"/>
          <w:sz w:val="32"/>
          <w:szCs w:val="32"/>
        </w:rPr>
        <w:t>0.32</w:t>
      </w:r>
      <w:r>
        <w:rPr>
          <w:rFonts w:hint="eastAsia" w:ascii="宋体" w:hAnsi="宋体" w:eastAsia="宋体" w:cs="宋体"/>
          <w:kern w:val="0"/>
          <w:sz w:val="32"/>
          <w:szCs w:val="32"/>
        </w:rPr>
        <w:t>万元。其中：国内公务接待支出</w:t>
      </w:r>
      <w:r>
        <w:rPr>
          <w:rFonts w:hint="default" w:ascii="Times New Roman" w:hAnsi="Times New Roman" w:eastAsia="宋体" w:cs="Times New Roman"/>
          <w:kern w:val="0"/>
          <w:sz w:val="32"/>
          <w:szCs w:val="32"/>
        </w:rPr>
        <w:t>0.32</w:t>
      </w:r>
      <w:r>
        <w:rPr>
          <w:rFonts w:hint="eastAsia" w:ascii="宋体" w:hAnsi="宋体" w:eastAsia="宋体" w:cs="宋体"/>
          <w:kern w:val="0"/>
          <w:sz w:val="32"/>
          <w:szCs w:val="32"/>
        </w:rPr>
        <w:t>万元，接待</w:t>
      </w:r>
      <w:r>
        <w:rPr>
          <w:rFonts w:hint="default" w:ascii="Times New Roman" w:hAnsi="Times New Roman" w:eastAsia="宋体" w:cs="Times New Roman"/>
          <w:kern w:val="0"/>
          <w:sz w:val="32"/>
          <w:szCs w:val="32"/>
        </w:rPr>
        <w:t>4</w:t>
      </w:r>
      <w:r>
        <w:rPr>
          <w:rFonts w:hint="eastAsia" w:ascii="宋体" w:hAnsi="宋体" w:eastAsia="宋体" w:cs="宋体"/>
          <w:kern w:val="0"/>
          <w:sz w:val="32"/>
          <w:szCs w:val="32"/>
        </w:rPr>
        <w:t>批次，</w:t>
      </w:r>
      <w:r>
        <w:rPr>
          <w:rFonts w:hint="default" w:ascii="Times New Roman" w:hAnsi="Times New Roman" w:eastAsia="宋体" w:cs="Times New Roman"/>
          <w:kern w:val="0"/>
          <w:sz w:val="32"/>
          <w:szCs w:val="32"/>
        </w:rPr>
        <w:t>14</w:t>
      </w:r>
      <w:r>
        <w:rPr>
          <w:rFonts w:hint="eastAsia" w:ascii="宋体" w:hAnsi="宋体" w:eastAsia="宋体" w:cs="宋体"/>
          <w:kern w:val="0"/>
          <w:sz w:val="32"/>
          <w:szCs w:val="32"/>
        </w:rPr>
        <w:t>人次，开支内容：接待洽谈业务需要；国（境）外公务接待支出</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万元，接待</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批次，</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人次，开支内容：无。与上年决算相比，减少</w:t>
      </w:r>
      <w:r>
        <w:rPr>
          <w:rFonts w:hint="default" w:ascii="Times New Roman" w:hAnsi="Times New Roman" w:eastAsia="宋体" w:cs="Times New Roman"/>
          <w:kern w:val="0"/>
          <w:sz w:val="32"/>
          <w:szCs w:val="32"/>
        </w:rPr>
        <w:t>0.86</w:t>
      </w:r>
      <w:r>
        <w:rPr>
          <w:rFonts w:hint="eastAsia" w:ascii="宋体" w:hAnsi="宋体" w:eastAsia="宋体" w:cs="宋体"/>
          <w:kern w:val="0"/>
          <w:sz w:val="32"/>
          <w:szCs w:val="32"/>
        </w:rPr>
        <w:t>万元，减少</w:t>
      </w:r>
      <w:r>
        <w:rPr>
          <w:rFonts w:hint="default" w:ascii="Times New Roman" w:hAnsi="Times New Roman" w:eastAsia="宋体" w:cs="Times New Roman"/>
          <w:kern w:val="0"/>
          <w:sz w:val="32"/>
          <w:szCs w:val="32"/>
        </w:rPr>
        <w:t>72.55</w:t>
      </w:r>
      <w:r>
        <w:rPr>
          <w:rFonts w:hint="eastAsia" w:ascii="宋体" w:hAnsi="宋体" w:eastAsia="宋体" w:cs="宋体"/>
          <w:kern w:val="0"/>
          <w:sz w:val="32"/>
          <w:szCs w:val="32"/>
        </w:rPr>
        <w:t>%，变动原因：本着节约俭省的原则压缩三公费用的开支。</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九、</w:t>
      </w:r>
      <w:r>
        <w:rPr>
          <w:rFonts w:hint="eastAsia" w:ascii="黑体" w:hAnsi="宋体" w:eastAsia="黑体" w:cs="黑体"/>
          <w:b/>
          <w:bCs/>
          <w:kern w:val="0"/>
          <w:sz w:val="32"/>
          <w:szCs w:val="32"/>
        </w:rPr>
        <w:t>政府性基金预算财政拨款支出决算情况说明</w:t>
      </w:r>
    </w:p>
    <w:p>
      <w:pPr>
        <w:spacing w:before="0" w:beforeAutospacing="1" w:after="0" w:afterAutospacing="1" w:line="600" w:lineRule="atLeast"/>
        <w:ind w:left="17"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内蒙古自治区鄂尔多斯市工业和信息化局（本级）单位2022年度政府性基金支出决算</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%，变动原因：本年无政府性基金预算财政拨款收、支、余。</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w:t>
      </w:r>
      <w:r>
        <w:rPr>
          <w:rFonts w:hint="eastAsia" w:ascii="黑体" w:hAnsi="宋体" w:eastAsia="黑体" w:cs="黑体"/>
          <w:b/>
          <w:bCs/>
          <w:kern w:val="0"/>
          <w:sz w:val="32"/>
          <w:szCs w:val="32"/>
        </w:rPr>
        <w:t>国有资本经营预算财政拨款支出决算情况说明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内蒙古自治区鄂尔多斯市工业和信息化局（本级）单位2022年度国有资本经营预算支出决算</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万元。与上年决算相比，增加</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万元，增长</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%，变动原因：本年无国有资本经营预算财政拨款收、支、余。</w:t>
      </w:r>
    </w:p>
    <w:p>
      <w:pPr>
        <w:keepNext/>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十一、</w:t>
      </w:r>
      <w:r>
        <w:rPr>
          <w:rFonts w:hint="eastAsia" w:ascii="黑体" w:hAnsi="宋体" w:eastAsia="黑体" w:cs="黑体"/>
          <w:b/>
          <w:bCs/>
          <w:kern w:val="0"/>
          <w:sz w:val="32"/>
          <w:szCs w:val="32"/>
        </w:rPr>
        <w:t>项目支出决算情况说明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内蒙古自治区鄂尔多斯市工业和信息化局（本级）单位2022年度预算安排项目</w:t>
      </w:r>
      <w:r>
        <w:rPr>
          <w:rFonts w:hint="default" w:ascii="Times New Roman" w:hAnsi="Times New Roman" w:eastAsia="宋体" w:cs="Times New Roman"/>
          <w:kern w:val="0"/>
          <w:sz w:val="32"/>
          <w:szCs w:val="32"/>
        </w:rPr>
        <w:t xml:space="preserve"> 10</w:t>
      </w:r>
      <w:r>
        <w:rPr>
          <w:rFonts w:hint="eastAsia" w:ascii="宋体" w:hAnsi="宋体" w:eastAsia="宋体" w:cs="宋体"/>
          <w:kern w:val="0"/>
          <w:sz w:val="32"/>
          <w:szCs w:val="32"/>
        </w:rPr>
        <w:t>个，实施项目</w:t>
      </w:r>
      <w:r>
        <w:rPr>
          <w:rFonts w:hint="default" w:ascii="Times New Roman" w:hAnsi="Times New Roman" w:eastAsia="宋体" w:cs="Times New Roman"/>
          <w:kern w:val="0"/>
          <w:sz w:val="32"/>
          <w:szCs w:val="32"/>
        </w:rPr>
        <w:t>10</w:t>
      </w:r>
      <w:r>
        <w:rPr>
          <w:rFonts w:hint="eastAsia" w:ascii="宋体" w:hAnsi="宋体" w:eastAsia="宋体" w:cs="宋体"/>
          <w:kern w:val="0"/>
          <w:sz w:val="32"/>
          <w:szCs w:val="32"/>
        </w:rPr>
        <w:t>个，完成项目</w:t>
      </w:r>
      <w:r>
        <w:rPr>
          <w:rFonts w:hint="default" w:ascii="Times New Roman" w:hAnsi="Times New Roman" w:eastAsia="宋体" w:cs="Times New Roman"/>
          <w:kern w:val="0"/>
          <w:sz w:val="32"/>
          <w:szCs w:val="32"/>
        </w:rPr>
        <w:t>10</w:t>
      </w:r>
      <w:r>
        <w:rPr>
          <w:rFonts w:hint="eastAsia" w:ascii="宋体" w:hAnsi="宋体" w:eastAsia="宋体" w:cs="宋体"/>
          <w:kern w:val="0"/>
          <w:sz w:val="32"/>
          <w:szCs w:val="32"/>
        </w:rPr>
        <w:t>个，项目支出总金额</w:t>
      </w:r>
      <w:r>
        <w:rPr>
          <w:rFonts w:hint="default" w:ascii="Times New Roman" w:hAnsi="Times New Roman" w:eastAsia="宋体" w:cs="Times New Roman"/>
          <w:kern w:val="0"/>
          <w:sz w:val="32"/>
          <w:szCs w:val="32"/>
        </w:rPr>
        <w:t>1,221.05</w:t>
      </w:r>
      <w:r>
        <w:rPr>
          <w:rFonts w:hint="eastAsia" w:ascii="宋体" w:hAnsi="宋体" w:eastAsia="宋体" w:cs="宋体"/>
          <w:kern w:val="0"/>
          <w:sz w:val="32"/>
          <w:szCs w:val="32"/>
        </w:rPr>
        <w:t>万元。资金来源包括年初结转结余</w:t>
      </w:r>
      <w:r>
        <w:rPr>
          <w:rFonts w:hint="default" w:ascii="Times New Roman" w:hAnsi="Times New Roman" w:eastAsia="宋体" w:cs="Times New Roman"/>
          <w:kern w:val="0"/>
          <w:sz w:val="32"/>
          <w:szCs w:val="32"/>
        </w:rPr>
        <w:t>120.90</w:t>
      </w:r>
      <w:r>
        <w:rPr>
          <w:rFonts w:hint="eastAsia" w:ascii="宋体" w:hAnsi="宋体" w:eastAsia="宋体" w:cs="宋体"/>
          <w:kern w:val="0"/>
          <w:sz w:val="32"/>
          <w:szCs w:val="32"/>
        </w:rPr>
        <w:t>万元，本年财政拨款金额</w:t>
      </w:r>
      <w:r>
        <w:rPr>
          <w:rFonts w:hint="default" w:ascii="Times New Roman" w:hAnsi="Times New Roman" w:eastAsia="宋体" w:cs="Times New Roman"/>
          <w:kern w:val="0"/>
          <w:sz w:val="32"/>
          <w:szCs w:val="32"/>
        </w:rPr>
        <w:t>1,100.14</w:t>
      </w:r>
      <w:r>
        <w:rPr>
          <w:rFonts w:hint="eastAsia" w:ascii="宋体" w:hAnsi="宋体" w:eastAsia="宋体" w:cs="宋体"/>
          <w:kern w:val="0"/>
          <w:sz w:val="32"/>
          <w:szCs w:val="32"/>
        </w:rPr>
        <w:t>万元，本年其他资金</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十二、</w:t>
      </w:r>
      <w:r>
        <w:rPr>
          <w:rFonts w:hint="eastAsia" w:ascii="黑体" w:hAnsi="宋体" w:eastAsia="黑体" w:cs="黑体"/>
          <w:b/>
          <w:bCs/>
          <w:kern w:val="0"/>
          <w:sz w:val="32"/>
          <w:szCs w:val="32"/>
        </w:rPr>
        <w:t>机构运行经费支出决算情况说明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内蒙古自治区鄂尔多斯市工业和信息化局（本级）2022年度机构运行经费支出决算</w:t>
      </w:r>
      <w:r>
        <w:rPr>
          <w:rFonts w:hint="default" w:ascii="Times New Roman" w:hAnsi="Times New Roman" w:eastAsia="宋体" w:cs="Times New Roman"/>
          <w:kern w:val="0"/>
          <w:sz w:val="32"/>
          <w:szCs w:val="32"/>
        </w:rPr>
        <w:t>73.48</w:t>
      </w:r>
      <w:r>
        <w:rPr>
          <w:rFonts w:hint="eastAsia" w:ascii="宋体" w:hAnsi="宋体" w:eastAsia="宋体" w:cs="宋体"/>
          <w:kern w:val="0"/>
          <w:sz w:val="32"/>
          <w:szCs w:val="32"/>
        </w:rPr>
        <w:t>万元。比上年决算相比，减少</w:t>
      </w:r>
      <w:r>
        <w:rPr>
          <w:rFonts w:hint="default" w:ascii="Times New Roman" w:hAnsi="Times New Roman" w:eastAsia="宋体" w:cs="Times New Roman"/>
          <w:kern w:val="0"/>
          <w:sz w:val="32"/>
          <w:szCs w:val="32"/>
        </w:rPr>
        <w:t>37.81</w:t>
      </w:r>
      <w:r>
        <w:rPr>
          <w:rFonts w:hint="eastAsia" w:ascii="宋体" w:hAnsi="宋体" w:eastAsia="宋体" w:cs="宋体"/>
          <w:kern w:val="0"/>
          <w:sz w:val="32"/>
          <w:szCs w:val="32"/>
        </w:rPr>
        <w:t>万元，减少</w:t>
      </w:r>
      <w:r>
        <w:rPr>
          <w:rFonts w:hint="default" w:ascii="Times New Roman" w:hAnsi="Times New Roman" w:eastAsia="宋体" w:cs="Times New Roman"/>
          <w:kern w:val="0"/>
          <w:sz w:val="32"/>
          <w:szCs w:val="32"/>
        </w:rPr>
        <w:t>33.98</w:t>
      </w:r>
      <w:r>
        <w:rPr>
          <w:rFonts w:hint="eastAsia" w:ascii="宋体" w:hAnsi="宋体" w:eastAsia="宋体" w:cs="宋体"/>
          <w:kern w:val="0"/>
          <w:sz w:val="32"/>
          <w:szCs w:val="32"/>
        </w:rPr>
        <w:t>%，变动原因：本着节约俭省的原则压缩机关运行经费用的开支。</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十三、</w:t>
      </w:r>
      <w:r>
        <w:rPr>
          <w:rFonts w:hint="eastAsia" w:ascii="黑体" w:hAnsi="宋体" w:eastAsia="黑体" w:cs="黑体"/>
          <w:b/>
          <w:bCs/>
          <w:kern w:val="0"/>
          <w:sz w:val="32"/>
          <w:szCs w:val="32"/>
        </w:rPr>
        <w:t>政府采购支出决算情况说明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内蒙古自治区鄂尔多斯市工业和信息化局（本级）2022年度政府采购支出总额</w:t>
      </w:r>
      <w:r>
        <w:rPr>
          <w:rFonts w:hint="default" w:ascii="Times New Roman" w:hAnsi="Times New Roman" w:eastAsia="宋体" w:cs="Times New Roman"/>
          <w:kern w:val="0"/>
          <w:sz w:val="32"/>
          <w:szCs w:val="32"/>
        </w:rPr>
        <w:t>301.80</w:t>
      </w:r>
      <w:r>
        <w:rPr>
          <w:rFonts w:hint="eastAsia" w:ascii="宋体" w:hAnsi="宋体" w:eastAsia="宋体" w:cs="宋体"/>
          <w:kern w:val="0"/>
          <w:sz w:val="32"/>
          <w:szCs w:val="32"/>
        </w:rPr>
        <w:t>万元，其中：政府采购货物支出</w:t>
      </w:r>
      <w:r>
        <w:rPr>
          <w:rFonts w:hint="default" w:ascii="Times New Roman" w:hAnsi="Times New Roman" w:eastAsia="宋体" w:cs="Times New Roman"/>
          <w:kern w:val="0"/>
          <w:sz w:val="32"/>
          <w:szCs w:val="32"/>
        </w:rPr>
        <w:t>7.01</w:t>
      </w:r>
      <w:r>
        <w:rPr>
          <w:rFonts w:hint="eastAsia" w:ascii="宋体" w:hAnsi="宋体" w:eastAsia="宋体" w:cs="宋体"/>
          <w:kern w:val="0"/>
          <w:sz w:val="32"/>
          <w:szCs w:val="32"/>
        </w:rPr>
        <w:t>万元、政府采购工程支出</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万元、政府采购服务支出</w:t>
      </w:r>
      <w:r>
        <w:rPr>
          <w:rFonts w:hint="default" w:ascii="Times New Roman" w:hAnsi="Times New Roman" w:eastAsia="宋体" w:cs="Times New Roman"/>
          <w:kern w:val="0"/>
          <w:sz w:val="32"/>
          <w:szCs w:val="32"/>
        </w:rPr>
        <w:t>294.79</w:t>
      </w:r>
      <w:r>
        <w:rPr>
          <w:rFonts w:hint="eastAsia" w:ascii="宋体" w:hAnsi="宋体" w:eastAsia="宋体" w:cs="宋体"/>
          <w:kern w:val="0"/>
          <w:sz w:val="32"/>
          <w:szCs w:val="32"/>
        </w:rPr>
        <w:t>万元。授予中小企业合同金额</w:t>
      </w:r>
      <w:r>
        <w:rPr>
          <w:rFonts w:hint="default" w:ascii="Times New Roman" w:hAnsi="Times New Roman" w:eastAsia="宋体" w:cs="Times New Roman"/>
          <w:kern w:val="0"/>
          <w:sz w:val="32"/>
          <w:szCs w:val="32"/>
        </w:rPr>
        <w:t>301.80</w:t>
      </w:r>
      <w:r>
        <w:rPr>
          <w:rFonts w:hint="eastAsia" w:ascii="宋体" w:hAnsi="宋体" w:eastAsia="宋体" w:cs="宋体"/>
          <w:kern w:val="0"/>
          <w:sz w:val="32"/>
          <w:szCs w:val="32"/>
        </w:rPr>
        <w:t>万元，占政府采购支出总额的</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%，其中：授予小微企业合同金额</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万元，占授予中小企业合同金额的</w:t>
      </w:r>
      <w:r>
        <w:rPr>
          <w:rFonts w:hint="default" w:ascii="Times New Roman" w:hAnsi="Times New Roman" w:eastAsia="宋体" w:cs="Times New Roman"/>
          <w:kern w:val="0"/>
          <w:sz w:val="32"/>
          <w:szCs w:val="32"/>
        </w:rPr>
        <w:t xml:space="preserve"> 0</w:t>
      </w:r>
      <w:r>
        <w:rPr>
          <w:rFonts w:hint="eastAsia" w:ascii="宋体" w:hAnsi="宋体" w:eastAsia="宋体" w:cs="宋体"/>
          <w:kern w:val="0"/>
          <w:sz w:val="32"/>
          <w:szCs w:val="32"/>
        </w:rPr>
        <w:t>%；</w:t>
      </w:r>
      <w:r>
        <w:rPr>
          <w:rFonts w:hint="eastAsia" w:ascii="宋体" w:hAnsi="宋体" w:eastAsia="宋体" w:cs="宋体"/>
          <w:color w:val="000000"/>
          <w:kern w:val="0"/>
          <w:sz w:val="32"/>
          <w:szCs w:val="32"/>
        </w:rPr>
        <w:t>货物采购授予中小企业合同金额占货物支出合同金额的</w:t>
      </w:r>
      <w:r>
        <w:rPr>
          <w:rFonts w:hint="default" w:ascii="Times New Roman" w:hAnsi="Times New Roman" w:eastAsia="宋体" w:cs="Times New Roman"/>
          <w:kern w:val="0"/>
          <w:sz w:val="32"/>
          <w:szCs w:val="32"/>
        </w:rPr>
        <w:t>2.32</w:t>
      </w:r>
      <w:r>
        <w:rPr>
          <w:rFonts w:hint="eastAsia" w:ascii="宋体" w:hAnsi="宋体" w:eastAsia="宋体" w:cs="宋体"/>
          <w:color w:val="000000"/>
          <w:kern w:val="0"/>
          <w:sz w:val="32"/>
          <w:szCs w:val="32"/>
        </w:rPr>
        <w:t>%，工程采购授予中小企业合同金额占工程支出合同金额的</w:t>
      </w:r>
      <w:r>
        <w:rPr>
          <w:rFonts w:hint="default" w:ascii="Times New Roman" w:hAnsi="Times New Roman" w:eastAsia="宋体" w:cs="Times New Roman"/>
          <w:kern w:val="0"/>
          <w:sz w:val="32"/>
          <w:szCs w:val="32"/>
        </w:rPr>
        <w:t>0</w:t>
      </w:r>
      <w:r>
        <w:rPr>
          <w:rFonts w:hint="eastAsia" w:ascii="宋体" w:hAnsi="宋体" w:eastAsia="宋体" w:cs="宋体"/>
          <w:color w:val="000000"/>
          <w:kern w:val="0"/>
          <w:sz w:val="32"/>
          <w:szCs w:val="32"/>
        </w:rPr>
        <w:t>%，服务采购授予中小企业合同金额占服务支出合同金额的</w:t>
      </w:r>
      <w:r>
        <w:rPr>
          <w:rFonts w:hint="default" w:ascii="Times New Roman" w:hAnsi="Times New Roman" w:eastAsia="宋体" w:cs="Times New Roman"/>
          <w:kern w:val="0"/>
          <w:sz w:val="32"/>
          <w:szCs w:val="32"/>
        </w:rPr>
        <w:t xml:space="preserve">97.68 </w:t>
      </w:r>
      <w:r>
        <w:rPr>
          <w:rFonts w:hint="eastAsia" w:ascii="宋体" w:hAnsi="宋体" w:eastAsia="宋体" w:cs="宋体"/>
          <w:color w:val="000000"/>
          <w:kern w:val="0"/>
          <w:sz w:val="32"/>
          <w:szCs w:val="32"/>
        </w:rPr>
        <w:t>%。</w:t>
      </w:r>
    </w:p>
    <w:p>
      <w:pPr>
        <w:keepNext/>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十四、</w:t>
      </w:r>
      <w:r>
        <w:rPr>
          <w:rFonts w:hint="eastAsia" w:ascii="黑体" w:hAnsi="宋体" w:eastAsia="黑体" w:cs="黑体"/>
          <w:b/>
          <w:bCs/>
          <w:kern w:val="0"/>
          <w:sz w:val="32"/>
          <w:szCs w:val="32"/>
        </w:rPr>
        <w:t>国有资产占用情况说明</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内蒙古自治区鄂尔多斯市工业和信息化局（本级）单位截至</w:t>
      </w:r>
      <w:r>
        <w:rPr>
          <w:rFonts w:hint="default" w:ascii="Times New Roman" w:hAnsi="Times New Roman" w:eastAsia="宋体" w:cs="Times New Roman"/>
          <w:kern w:val="0"/>
          <w:sz w:val="32"/>
          <w:szCs w:val="32"/>
        </w:rPr>
        <w:t>2022</w:t>
      </w:r>
      <w:r>
        <w:rPr>
          <w:rFonts w:hint="eastAsia" w:ascii="宋体" w:hAnsi="宋体" w:eastAsia="宋体" w:cs="宋体"/>
          <w:kern w:val="0"/>
          <w:sz w:val="32"/>
          <w:szCs w:val="32"/>
        </w:rPr>
        <w:t>年</w:t>
      </w:r>
      <w:r>
        <w:rPr>
          <w:rFonts w:hint="default" w:ascii="Times New Roman" w:hAnsi="Times New Roman" w:eastAsia="宋体" w:cs="Times New Roman"/>
          <w:kern w:val="0"/>
          <w:sz w:val="32"/>
          <w:szCs w:val="32"/>
        </w:rPr>
        <w:t>12</w:t>
      </w:r>
      <w:r>
        <w:rPr>
          <w:rFonts w:hint="eastAsia" w:ascii="宋体" w:hAnsi="宋体" w:eastAsia="宋体" w:cs="宋体"/>
          <w:kern w:val="0"/>
          <w:sz w:val="32"/>
          <w:szCs w:val="32"/>
        </w:rPr>
        <w:t>月</w:t>
      </w:r>
      <w:r>
        <w:rPr>
          <w:rFonts w:hint="default" w:ascii="Times New Roman" w:hAnsi="Times New Roman" w:eastAsia="宋体" w:cs="Times New Roman"/>
          <w:kern w:val="0"/>
          <w:sz w:val="32"/>
          <w:szCs w:val="32"/>
        </w:rPr>
        <w:t>31</w:t>
      </w:r>
      <w:r>
        <w:rPr>
          <w:rFonts w:hint="eastAsia" w:ascii="宋体" w:hAnsi="宋体" w:eastAsia="宋体" w:cs="宋体"/>
          <w:kern w:val="0"/>
          <w:sz w:val="32"/>
          <w:szCs w:val="32"/>
        </w:rPr>
        <w:t>日，本单位共有车辆</w:t>
      </w:r>
      <w:r>
        <w:rPr>
          <w:rFonts w:hint="default" w:ascii="Times New Roman" w:hAnsi="Times New Roman" w:eastAsia="宋体" w:cs="Times New Roman"/>
          <w:kern w:val="0"/>
          <w:sz w:val="32"/>
          <w:szCs w:val="32"/>
        </w:rPr>
        <w:t>9</w:t>
      </w:r>
      <w:r>
        <w:rPr>
          <w:rFonts w:hint="eastAsia" w:ascii="宋体" w:hAnsi="宋体" w:eastAsia="宋体" w:cs="宋体"/>
          <w:kern w:val="0"/>
          <w:sz w:val="32"/>
          <w:szCs w:val="32"/>
        </w:rPr>
        <w:t>辆，其中：副部（省）级及以上领导用车</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辆、主要领导干部用车</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辆、机要通信用车</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辆、应急保障用车</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辆、执法执勤用车</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辆、特种专业技术用车</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辆、离退休干部用车</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辆，其他用车</w:t>
      </w:r>
      <w:r>
        <w:rPr>
          <w:rFonts w:hint="default" w:ascii="Times New Roman" w:hAnsi="Times New Roman" w:eastAsia="宋体" w:cs="Times New Roman"/>
          <w:kern w:val="0"/>
          <w:sz w:val="32"/>
          <w:szCs w:val="32"/>
        </w:rPr>
        <w:t>9</w:t>
      </w:r>
      <w:r>
        <w:rPr>
          <w:rFonts w:hint="eastAsia" w:ascii="宋体" w:hAnsi="宋体" w:eastAsia="宋体" w:cs="宋体"/>
          <w:kern w:val="0"/>
          <w:sz w:val="32"/>
          <w:szCs w:val="32"/>
        </w:rPr>
        <w:t>辆；单价</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万元（含）以上的设备（不含车辆）</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台（套）。</w:t>
      </w:r>
    </w:p>
    <w:p>
      <w:pPr>
        <w:spacing w:before="0" w:beforeAutospacing="1" w:after="0" w:afterAutospacing="1" w:line="600" w:lineRule="atLeast"/>
        <w:ind w:left="0" w:firstLine="643"/>
        <w:jc w:val="both"/>
        <w:rPr>
          <w:rFonts w:hint="eastAsia" w:ascii="宋体" w:hAnsi="宋体" w:eastAsia="宋体" w:cs="宋体"/>
          <w:kern w:val="0"/>
          <w:sz w:val="24"/>
          <w:szCs w:val="24"/>
        </w:rPr>
      </w:pPr>
      <w:r>
        <w:rPr>
          <w:rFonts w:hint="eastAsia" w:ascii="黑体" w:hAnsi="宋体" w:eastAsia="黑体" w:cs="黑体"/>
          <w:b/>
          <w:bCs/>
          <w:color w:val="000000"/>
          <w:kern w:val="0"/>
          <w:sz w:val="32"/>
          <w:szCs w:val="32"/>
        </w:rPr>
        <w:t>十五、</w:t>
      </w:r>
      <w:r>
        <w:rPr>
          <w:rFonts w:hint="eastAsia" w:ascii="黑体" w:hAnsi="宋体" w:eastAsia="黑体" w:cs="黑体"/>
          <w:b/>
          <w:bCs/>
          <w:kern w:val="0"/>
          <w:sz w:val="32"/>
          <w:szCs w:val="32"/>
        </w:rPr>
        <w:t>预算绩效情况说明</w:t>
      </w:r>
    </w:p>
    <w:p>
      <w:pPr>
        <w:spacing w:before="0" w:beforeAutospacing="1" w:after="0" w:afterAutospacing="1"/>
        <w:ind w:lef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（一）预算绩效管理工作开展情况。</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内蒙古自治区鄂尔多斯市工业和信息化局（本级）单位根据预算绩效管理要求组织对2022年一般公共预算项目支出全面开展绩效自评，共有项目</w:t>
      </w:r>
      <w:r>
        <w:rPr>
          <w:rFonts w:hint="default" w:ascii="Times New Roman" w:hAnsi="Times New Roman" w:eastAsia="宋体" w:cs="Times New Roman"/>
          <w:kern w:val="0"/>
          <w:sz w:val="32"/>
          <w:szCs w:val="32"/>
        </w:rPr>
        <w:t>10</w:t>
      </w:r>
      <w:r>
        <w:rPr>
          <w:rFonts w:hint="eastAsia" w:ascii="宋体" w:hAnsi="宋体" w:eastAsia="宋体" w:cs="宋体"/>
          <w:kern w:val="0"/>
          <w:sz w:val="32"/>
          <w:szCs w:val="32"/>
        </w:rPr>
        <w:t>个，共涉及资金</w:t>
      </w:r>
      <w:r>
        <w:rPr>
          <w:rFonts w:hint="default" w:ascii="Times New Roman" w:hAnsi="Times New Roman" w:eastAsia="宋体" w:cs="Times New Roman"/>
          <w:kern w:val="0"/>
          <w:sz w:val="32"/>
          <w:szCs w:val="32"/>
        </w:rPr>
        <w:t>1,221.05</w:t>
      </w:r>
      <w:r>
        <w:rPr>
          <w:rFonts w:hint="eastAsia" w:ascii="宋体" w:hAnsi="宋体" w:eastAsia="宋体" w:cs="宋体"/>
          <w:kern w:val="0"/>
          <w:sz w:val="32"/>
          <w:szCs w:val="32"/>
        </w:rPr>
        <w:t>万元，占一般公共预算项目支出总额的</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%；政府性基金预算项目</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个，共涉及资金</w:t>
      </w:r>
      <w:r>
        <w:rPr>
          <w:rFonts w:hint="default" w:ascii="Times New Roman" w:hAnsi="Times New Roman" w:eastAsia="宋体" w:cs="Times New Roman"/>
          <w:kern w:val="0"/>
          <w:sz w:val="32"/>
          <w:szCs w:val="32"/>
        </w:rPr>
        <w:t>0.00</w:t>
      </w:r>
      <w:r>
        <w:rPr>
          <w:rFonts w:hint="eastAsia" w:ascii="宋体" w:hAnsi="宋体" w:eastAsia="宋体" w:cs="宋体"/>
          <w:kern w:val="0"/>
          <w:sz w:val="32"/>
          <w:szCs w:val="32"/>
        </w:rPr>
        <w:t>万元，占应纳入绩效自评的政府性基金预算项目支出总额的</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w:t>
      </w:r>
    </w:p>
    <w:p>
      <w:pPr>
        <w:pStyle w:val="13"/>
        <w:spacing w:before="0" w:beforeAutospacing="0" w:after="0" w:afterAutospacing="0" w:line="560" w:lineRule="exact"/>
        <w:ind w:left="0" w:leftChars="0" w:right="0" w:firstLine="640"/>
        <w:rPr>
          <w:rFonts w:hint="default" w:ascii="Calibri" w:hAnsi="Times New Roman" w:eastAsia="宋体" w:cs="Times New Roman"/>
          <w:kern w:val="2"/>
          <w:sz w:val="32"/>
          <w:szCs w:val="32"/>
        </w:rPr>
      </w:pPr>
      <w:r>
        <w:rPr>
          <w:rFonts w:hint="eastAsia" w:ascii="宋体" w:hAnsi="宋体" w:eastAsia="宋体" w:cs="宋体"/>
          <w:kern w:val="2"/>
          <w:sz w:val="32"/>
          <w:szCs w:val="32"/>
        </w:rPr>
        <w:t>组织对</w:t>
      </w:r>
      <w:r>
        <w:rPr>
          <w:rFonts w:hint="default" w:ascii="Times New Roman" w:hAnsi="Times New Roman" w:eastAsia="宋体" w:cs="Times New Roman"/>
          <w:kern w:val="2"/>
          <w:sz w:val="32"/>
          <w:szCs w:val="32"/>
        </w:rPr>
        <w:t>“</w:t>
      </w:r>
      <w:r>
        <w:rPr>
          <w:rFonts w:hint="eastAsia" w:ascii="宋体" w:hAnsi="宋体" w:eastAsia="宋体" w:cs="宋体"/>
          <w:kern w:val="2"/>
          <w:sz w:val="32"/>
          <w:szCs w:val="32"/>
        </w:rPr>
        <w:t>办公自动化</w:t>
      </w:r>
      <w:r>
        <w:rPr>
          <w:rFonts w:hint="default" w:ascii="Calibri" w:hAnsi="Times New Roman" w:eastAsia="宋体" w:cs="Times New Roman"/>
          <w:kern w:val="2"/>
          <w:sz w:val="32"/>
          <w:szCs w:val="32"/>
        </w:rPr>
        <w:t>OA</w:t>
      </w:r>
      <w:r>
        <w:rPr>
          <w:rFonts w:hint="eastAsia" w:ascii="宋体" w:hAnsi="宋体" w:eastAsia="宋体" w:cs="宋体"/>
          <w:kern w:val="2"/>
          <w:sz w:val="32"/>
          <w:szCs w:val="32"/>
        </w:rPr>
        <w:t>运行维护经费</w:t>
      </w:r>
      <w:r>
        <w:rPr>
          <w:rFonts w:hint="default" w:ascii="Times New Roman" w:hAnsi="Times New Roman" w:eastAsia="宋体" w:cs="Times New Roman"/>
          <w:kern w:val="2"/>
          <w:sz w:val="32"/>
          <w:szCs w:val="32"/>
        </w:rPr>
        <w:t>”</w:t>
      </w:r>
      <w:r>
        <w:rPr>
          <w:rFonts w:hint="eastAsia" w:ascii="宋体" w:hAnsi="宋体" w:eastAsia="宋体" w:cs="宋体"/>
          <w:kern w:val="2"/>
          <w:sz w:val="32"/>
          <w:szCs w:val="32"/>
        </w:rPr>
        <w:t>、</w:t>
      </w:r>
      <w:r>
        <w:rPr>
          <w:rFonts w:hint="default" w:ascii="Times New Roman" w:hAnsi="Times New Roman" w:eastAsia="宋体" w:cs="Times New Roman"/>
          <w:kern w:val="2"/>
          <w:sz w:val="32"/>
          <w:szCs w:val="32"/>
        </w:rPr>
        <w:t>“</w:t>
      </w:r>
      <w:r>
        <w:rPr>
          <w:rFonts w:hint="default" w:ascii="Calibri" w:hAnsi="Times New Roman" w:eastAsia="宋体" w:cs="Times New Roman"/>
          <w:kern w:val="2"/>
          <w:sz w:val="32"/>
          <w:szCs w:val="32"/>
        </w:rPr>
        <w:t xml:space="preserve"> </w:t>
      </w:r>
      <w:r>
        <w:rPr>
          <w:rFonts w:hint="eastAsia" w:ascii="宋体" w:hAnsi="宋体" w:eastAsia="宋体" w:cs="宋体"/>
          <w:kern w:val="2"/>
          <w:sz w:val="32"/>
          <w:szCs w:val="32"/>
        </w:rPr>
        <w:t>党的建设、意识形态、改革调研工作经费</w:t>
      </w:r>
      <w:r>
        <w:rPr>
          <w:rFonts w:hint="default" w:ascii="Times New Roman" w:hAnsi="Times New Roman" w:eastAsia="宋体" w:cs="Times New Roman"/>
          <w:kern w:val="2"/>
          <w:sz w:val="32"/>
          <w:szCs w:val="32"/>
        </w:rPr>
        <w:t>”</w:t>
      </w:r>
      <w:r>
        <w:rPr>
          <w:rFonts w:hint="eastAsia" w:ascii="宋体" w:hAnsi="宋体" w:eastAsia="宋体" w:cs="宋体"/>
          <w:kern w:val="2"/>
          <w:sz w:val="32"/>
          <w:szCs w:val="32"/>
        </w:rPr>
        <w:t>、</w:t>
      </w:r>
      <w:r>
        <w:rPr>
          <w:rFonts w:hint="default" w:ascii="Times New Roman" w:hAnsi="Times New Roman" w:eastAsia="宋体" w:cs="Times New Roman"/>
          <w:kern w:val="2"/>
          <w:sz w:val="32"/>
          <w:szCs w:val="32"/>
        </w:rPr>
        <w:t>“</w:t>
      </w:r>
      <w:r>
        <w:rPr>
          <w:rFonts w:hint="default" w:ascii="Calibri" w:hAnsi="Times New Roman" w:eastAsia="宋体" w:cs="Times New Roman"/>
          <w:kern w:val="2"/>
          <w:sz w:val="32"/>
          <w:szCs w:val="32"/>
        </w:rPr>
        <w:t xml:space="preserve"> </w:t>
      </w:r>
      <w:r>
        <w:rPr>
          <w:rFonts w:hint="eastAsia" w:ascii="宋体" w:hAnsi="宋体" w:eastAsia="宋体" w:cs="宋体"/>
          <w:kern w:val="2"/>
          <w:sz w:val="32"/>
          <w:szCs w:val="32"/>
        </w:rPr>
        <w:t>工业园区及工业企业监管经费</w:t>
      </w:r>
      <w:r>
        <w:rPr>
          <w:rFonts w:hint="default" w:ascii="Times New Roman" w:hAnsi="Times New Roman" w:eastAsia="宋体" w:cs="Times New Roman"/>
          <w:kern w:val="2"/>
          <w:sz w:val="32"/>
          <w:szCs w:val="32"/>
        </w:rPr>
        <w:t>”</w:t>
      </w:r>
      <w:r>
        <w:rPr>
          <w:rFonts w:hint="eastAsia" w:ascii="宋体" w:hAnsi="宋体" w:eastAsia="宋体" w:cs="宋体"/>
          <w:kern w:val="2"/>
          <w:sz w:val="32"/>
          <w:szCs w:val="32"/>
        </w:rPr>
        <w:t>等</w:t>
      </w:r>
      <w:r>
        <w:rPr>
          <w:rFonts w:hint="default" w:ascii="Times New Roman" w:hAnsi="Times New Roman" w:eastAsia="宋体" w:cs="Times New Roman"/>
          <w:kern w:val="2"/>
          <w:sz w:val="32"/>
          <w:szCs w:val="32"/>
        </w:rPr>
        <w:t>10</w:t>
      </w:r>
      <w:r>
        <w:rPr>
          <w:rFonts w:hint="eastAsia" w:ascii="宋体" w:hAnsi="宋体" w:eastAsia="宋体" w:cs="宋体"/>
          <w:kern w:val="2"/>
          <w:sz w:val="32"/>
          <w:szCs w:val="32"/>
        </w:rPr>
        <w:t>个项目开展了单位评价，涉及一般公共预算支出</w:t>
      </w:r>
      <w:r>
        <w:rPr>
          <w:rFonts w:hint="default" w:ascii="Times New Roman" w:hAnsi="Times New Roman" w:eastAsia="宋体" w:cs="Times New Roman"/>
          <w:kern w:val="2"/>
          <w:sz w:val="32"/>
          <w:szCs w:val="32"/>
        </w:rPr>
        <w:t>1,221.05</w:t>
      </w:r>
      <w:r>
        <w:rPr>
          <w:rFonts w:hint="eastAsia" w:ascii="宋体" w:hAnsi="宋体" w:eastAsia="宋体" w:cs="宋体"/>
          <w:kern w:val="2"/>
          <w:sz w:val="32"/>
          <w:szCs w:val="32"/>
        </w:rPr>
        <w:t>万元，政府性基金支出</w:t>
      </w:r>
      <w:r>
        <w:rPr>
          <w:rFonts w:hint="default" w:ascii="Times New Roman" w:hAnsi="Times New Roman" w:eastAsia="宋体" w:cs="Times New Roman"/>
          <w:kern w:val="2"/>
          <w:sz w:val="32"/>
          <w:szCs w:val="32"/>
        </w:rPr>
        <w:t>0</w:t>
      </w:r>
      <w:r>
        <w:rPr>
          <w:rFonts w:hint="eastAsia" w:ascii="宋体" w:hAnsi="宋体" w:eastAsia="宋体" w:cs="宋体"/>
          <w:kern w:val="2"/>
          <w:sz w:val="32"/>
          <w:szCs w:val="32"/>
        </w:rPr>
        <w:t>万元。从评价情况看，</w:t>
      </w:r>
      <w:r>
        <w:rPr>
          <w:rFonts w:hint="default" w:ascii="Calibri" w:hAnsi="Times New Roman" w:eastAsia="宋体" w:cs="Times New Roman"/>
          <w:kern w:val="2"/>
          <w:sz w:val="32"/>
          <w:szCs w:val="32"/>
        </w:rPr>
        <w:t>2022</w:t>
      </w:r>
      <w:r>
        <w:rPr>
          <w:rFonts w:hint="eastAsia" w:ascii="宋体" w:hAnsi="宋体" w:eastAsia="宋体" w:cs="宋体"/>
          <w:kern w:val="2"/>
          <w:sz w:val="32"/>
          <w:szCs w:val="32"/>
        </w:rPr>
        <w:t>全年很好的完成全部既定目标，主要围绕各项目标任务，重点开展了以下工作：一是多措并举服务企业；二是对标先进促转型；三是推动工业智能化发展；四是推动工业绿色化发展；五是激发活力培优企业；六是推动工业园区高质量发展。全面开展开发区以案促改整治工作，六个方面</w:t>
      </w:r>
      <w:r>
        <w:rPr>
          <w:rFonts w:hint="default" w:ascii="Calibri" w:hAnsi="Times New Roman" w:eastAsia="宋体" w:cs="Times New Roman"/>
          <w:kern w:val="2"/>
          <w:sz w:val="32"/>
          <w:szCs w:val="32"/>
        </w:rPr>
        <w:t>362</w:t>
      </w:r>
      <w:r>
        <w:rPr>
          <w:rFonts w:hint="eastAsia" w:ascii="宋体" w:hAnsi="宋体" w:eastAsia="宋体" w:cs="宋体"/>
          <w:kern w:val="2"/>
          <w:sz w:val="32"/>
          <w:szCs w:val="32"/>
        </w:rPr>
        <w:t>个问题已整改完成</w:t>
      </w:r>
      <w:r>
        <w:rPr>
          <w:rFonts w:hint="default" w:ascii="Calibri" w:hAnsi="Times New Roman" w:eastAsia="宋体" w:cs="Times New Roman"/>
          <w:kern w:val="2"/>
          <w:sz w:val="32"/>
          <w:szCs w:val="32"/>
        </w:rPr>
        <w:t>361</w:t>
      </w:r>
      <w:r>
        <w:rPr>
          <w:rFonts w:hint="eastAsia" w:ascii="宋体" w:hAnsi="宋体" w:eastAsia="宋体" w:cs="宋体"/>
          <w:kern w:val="2"/>
          <w:sz w:val="32"/>
          <w:szCs w:val="32"/>
        </w:rPr>
        <w:t>个。</w:t>
      </w:r>
    </w:p>
    <w:p>
      <w:pPr>
        <w:spacing w:before="0" w:beforeAutospacing="1" w:after="0" w:afterAutospacing="1"/>
        <w:ind w:left="0" w:firstLine="643"/>
        <w:jc w:val="both"/>
        <w:rPr>
          <w:rFonts w:hint="eastAsia" w:ascii="宋体" w:hAnsi="宋体" w:eastAsia="宋体" w:cs="宋体"/>
          <w:kern w:val="0"/>
          <w:sz w:val="24"/>
          <w:szCs w:val="24"/>
        </w:rPr>
      </w:pPr>
      <w:r>
        <w:rPr>
          <w:rFonts w:hint="eastAsia" w:ascii="楷体" w:hAnsi="楷体" w:eastAsia="楷体" w:cs="楷体"/>
          <w:b/>
          <w:bCs/>
          <w:kern w:val="0"/>
          <w:sz w:val="32"/>
          <w:szCs w:val="32"/>
        </w:rPr>
        <w:t>（二）单位决算中项目绩效自评结果。</w:t>
      </w: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内蒙古自治区鄂尔多斯市工业和信息化局（本级）单位2022年度在决算中反映</w:t>
      </w:r>
      <w:r>
        <w:rPr>
          <w:rFonts w:hint="default" w:ascii="Times New Roman" w:hAnsi="Times New Roman" w:eastAsia="宋体" w:cs="Times New Roman"/>
          <w:kern w:val="0"/>
          <w:sz w:val="32"/>
          <w:szCs w:val="32"/>
        </w:rPr>
        <w:t>10</w:t>
      </w:r>
      <w:r>
        <w:rPr>
          <w:rFonts w:hint="eastAsia" w:ascii="宋体" w:hAnsi="宋体" w:eastAsia="宋体" w:cs="宋体"/>
          <w:kern w:val="0"/>
          <w:sz w:val="32"/>
          <w:szCs w:val="32"/>
        </w:rPr>
        <w:t>个一般公共预算项目，以及</w:t>
      </w:r>
      <w:r>
        <w:rPr>
          <w:rFonts w:hint="default" w:ascii="Times New Roman" w:hAnsi="Times New Roman" w:eastAsia="宋体" w:cs="Times New Roman"/>
          <w:kern w:val="0"/>
          <w:sz w:val="32"/>
          <w:szCs w:val="32"/>
        </w:rPr>
        <w:t>0</w:t>
      </w:r>
      <w:r>
        <w:rPr>
          <w:rFonts w:hint="eastAsia" w:ascii="宋体" w:hAnsi="宋体" w:eastAsia="宋体" w:cs="宋体"/>
          <w:kern w:val="0"/>
          <w:sz w:val="32"/>
          <w:szCs w:val="32"/>
        </w:rPr>
        <w:t>个政府性基金项目，共</w:t>
      </w:r>
      <w:r>
        <w:rPr>
          <w:rFonts w:hint="default" w:ascii="Times New Roman" w:hAnsi="Times New Roman" w:eastAsia="宋体" w:cs="Times New Roman"/>
          <w:kern w:val="0"/>
          <w:sz w:val="32"/>
          <w:szCs w:val="32"/>
        </w:rPr>
        <w:t>10</w:t>
      </w:r>
      <w:r>
        <w:rPr>
          <w:rFonts w:hint="eastAsia" w:ascii="宋体" w:hAnsi="宋体" w:eastAsia="宋体" w:cs="宋体"/>
          <w:kern w:val="0"/>
          <w:sz w:val="32"/>
          <w:szCs w:val="32"/>
        </w:rPr>
        <w:t>个项目的绩效自评结果。</w:t>
      </w:r>
    </w:p>
    <w:p>
      <w:pPr>
        <w:spacing w:before="0" w:beforeAutospacing="1" w:after="0" w:afterAutospacing="1" w:line="560" w:lineRule="atLeast"/>
        <w:ind w:left="0" w:firstLine="640"/>
        <w:jc w:val="both"/>
        <w:rPr>
          <w:rFonts w:hint="eastAsia" w:ascii="宋体" w:hAnsi="宋体" w:eastAsia="宋体" w:cs="宋体"/>
          <w:kern w:val="0"/>
          <w:sz w:val="32"/>
          <w:szCs w:val="32"/>
        </w:rPr>
      </w:pPr>
      <w:r>
        <w:rPr>
          <w:rFonts w:hint="default" w:ascii="Times New Roman" w:hAnsi="Times New Roman" w:eastAsia="宋体" w:cs="Times New Roman"/>
          <w:kern w:val="0"/>
          <w:sz w:val="32"/>
          <w:szCs w:val="32"/>
        </w:rPr>
        <w:t>1.</w:t>
      </w:r>
      <w:r>
        <w:rPr>
          <w:rFonts w:hint="eastAsia" w:ascii="宋体" w:hAnsi="宋体" w:eastAsia="宋体" w:cs="宋体"/>
          <w:kern w:val="0"/>
          <w:sz w:val="24"/>
          <w:szCs w:val="24"/>
        </w:rPr>
        <w:t xml:space="preserve"> </w:t>
      </w:r>
      <w:r>
        <w:rPr>
          <w:rFonts w:hint="eastAsia" w:ascii="宋体" w:hAnsi="宋体" w:eastAsia="宋体" w:cs="宋体"/>
          <w:kern w:val="0"/>
          <w:sz w:val="32"/>
          <w:szCs w:val="32"/>
        </w:rPr>
        <w:t>办公自动化OA运行维护经费项目自评综述：根据年初设定的绩效目标，项目自评得分</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分。全年预算数为</w:t>
      </w:r>
      <w:r>
        <w:rPr>
          <w:rFonts w:hint="default" w:ascii="Times New Roman" w:hAnsi="Times New Roman" w:eastAsia="宋体" w:cs="Times New Roman"/>
          <w:kern w:val="0"/>
          <w:sz w:val="32"/>
          <w:szCs w:val="32"/>
        </w:rPr>
        <w:t xml:space="preserve"> 8</w:t>
      </w:r>
      <w:r>
        <w:rPr>
          <w:rFonts w:hint="eastAsia" w:ascii="宋体" w:hAnsi="宋体" w:eastAsia="宋体" w:cs="宋体"/>
          <w:kern w:val="0"/>
          <w:sz w:val="32"/>
          <w:szCs w:val="32"/>
        </w:rPr>
        <w:t>万元，执行数为</w:t>
      </w:r>
      <w:r>
        <w:rPr>
          <w:rFonts w:hint="default" w:ascii="Times New Roman" w:hAnsi="Times New Roman" w:eastAsia="宋体" w:cs="Times New Roman"/>
          <w:kern w:val="0"/>
          <w:sz w:val="32"/>
          <w:szCs w:val="32"/>
        </w:rPr>
        <w:t>8</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rPr>
        <w:t xml:space="preserve"> 100</w:t>
      </w:r>
      <w:r>
        <w:rPr>
          <w:rFonts w:hint="eastAsia" w:ascii="宋体" w:hAnsi="宋体" w:eastAsia="宋体" w:cs="宋体"/>
          <w:kern w:val="0"/>
          <w:sz w:val="32"/>
          <w:szCs w:val="32"/>
        </w:rPr>
        <w:t>%。项目绩效目标完成情况：2022年服务单位及时准确维修、维护了办公设备，同时按照规划进度完成既定数据迁移工作。保障了办公设备正常运转、充分发挥OA的优势。发现的主要问题及原因：无。下一步改进措施：</w:t>
      </w:r>
      <w:r>
        <w:rPr>
          <w:rFonts w:hint="eastAsia" w:cs="宋体"/>
          <w:kern w:val="0"/>
          <w:sz w:val="32"/>
          <w:szCs w:val="32"/>
          <w:lang w:eastAsia="zh-CN"/>
        </w:rPr>
        <w:t>强化绩效指标可行性，优化绩效指标设定</w:t>
      </w:r>
      <w:r>
        <w:rPr>
          <w:rFonts w:hint="eastAsia" w:ascii="宋体" w:hAnsi="宋体" w:eastAsia="宋体" w:cs="宋体"/>
          <w:kern w:val="0"/>
          <w:sz w:val="32"/>
          <w:szCs w:val="32"/>
        </w:rPr>
        <w:t>。</w:t>
      </w:r>
    </w:p>
    <w:p>
      <w:pPr>
        <w:spacing w:line="620" w:lineRule="exact"/>
        <w:ind w:left="0" w:firstLine="640"/>
        <w:rPr>
          <w:rFonts w:hint="eastAsia" w:ascii="宋体" w:hAnsi="宋体" w:eastAsia="宋体" w:cs="宋体"/>
          <w:kern w:val="0"/>
          <w:sz w:val="32"/>
          <w:szCs w:val="32"/>
        </w:rPr>
      </w:pPr>
      <w:r>
        <w:rPr>
          <w:rFonts w:hint="default" w:ascii="Times New Roman" w:hAnsi="Times New Roman" w:eastAsia="宋体" w:cs="Times New Roman"/>
          <w:kern w:val="0"/>
          <w:sz w:val="32"/>
          <w:szCs w:val="32"/>
        </w:rPr>
        <w:t>2.</w:t>
      </w:r>
      <w:r>
        <w:rPr>
          <w:rFonts w:hint="eastAsia" w:ascii="宋体" w:hAnsi="宋体" w:eastAsia="宋体" w:cs="宋体"/>
          <w:kern w:val="0"/>
          <w:sz w:val="24"/>
          <w:szCs w:val="24"/>
        </w:rPr>
        <w:t xml:space="preserve"> </w:t>
      </w:r>
      <w:r>
        <w:rPr>
          <w:rFonts w:hint="eastAsia" w:ascii="宋体" w:hAnsi="宋体" w:eastAsia="宋体" w:cs="宋体"/>
          <w:kern w:val="0"/>
          <w:sz w:val="32"/>
          <w:szCs w:val="32"/>
        </w:rPr>
        <w:t>党的建设、意识形态、改革调研工作经费项目自评综述：根据年初设定的绩效目标，项目自评得分</w:t>
      </w:r>
      <w:r>
        <w:rPr>
          <w:rFonts w:hint="default" w:ascii="Times New Roman" w:hAnsi="Times New Roman" w:eastAsia="宋体" w:cs="Times New Roman"/>
          <w:kern w:val="0"/>
          <w:sz w:val="32"/>
          <w:szCs w:val="32"/>
        </w:rPr>
        <w:t>99.9</w:t>
      </w:r>
      <w:r>
        <w:rPr>
          <w:rFonts w:hint="eastAsia" w:ascii="Times New Roman" w:hAnsi="Times New Roman" w:cs="Times New Roman"/>
          <w:kern w:val="0"/>
          <w:sz w:val="32"/>
          <w:szCs w:val="32"/>
          <w:lang w:val="en-US" w:eastAsia="zh-CN"/>
        </w:rPr>
        <w:t>9</w:t>
      </w:r>
      <w:r>
        <w:rPr>
          <w:rFonts w:hint="eastAsia" w:ascii="宋体" w:hAnsi="宋体" w:eastAsia="宋体" w:cs="宋体"/>
          <w:kern w:val="0"/>
          <w:sz w:val="32"/>
          <w:szCs w:val="32"/>
        </w:rPr>
        <w:t>分。全年预算数为</w:t>
      </w:r>
      <w:r>
        <w:rPr>
          <w:rFonts w:hint="default" w:ascii="Times New Roman" w:hAnsi="Times New Roman" w:eastAsia="宋体" w:cs="Times New Roman"/>
          <w:kern w:val="0"/>
          <w:sz w:val="32"/>
          <w:szCs w:val="32"/>
        </w:rPr>
        <w:t xml:space="preserve"> 50</w:t>
      </w:r>
      <w:r>
        <w:rPr>
          <w:rFonts w:hint="eastAsia" w:ascii="宋体" w:hAnsi="宋体" w:eastAsia="宋体" w:cs="宋体"/>
          <w:kern w:val="0"/>
          <w:sz w:val="32"/>
          <w:szCs w:val="32"/>
        </w:rPr>
        <w:t>万元，执行数为</w:t>
      </w:r>
      <w:r>
        <w:rPr>
          <w:rFonts w:hint="default" w:ascii="Times New Roman" w:hAnsi="Times New Roman" w:eastAsia="宋体" w:cs="Times New Roman"/>
          <w:kern w:val="0"/>
          <w:sz w:val="32"/>
          <w:szCs w:val="32"/>
        </w:rPr>
        <w:t>49.99</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rPr>
        <w:t xml:space="preserve"> 100</w:t>
      </w:r>
      <w:r>
        <w:rPr>
          <w:rFonts w:hint="eastAsia" w:ascii="宋体" w:hAnsi="宋体" w:eastAsia="宋体" w:cs="宋体"/>
          <w:kern w:val="0"/>
          <w:sz w:val="32"/>
          <w:szCs w:val="32"/>
        </w:rPr>
        <w:t>%。项目绩效目标完成情况：党的建设经费为25万元计划用于党员教育培训、党建阵地建设、主题党日活动、购买党建书籍、举办党建知识竞赛等项目；意识形态经费10万元计划用于意识形态宣传、意识形态培训等项目；改革调研经费15万元计划用于党建创新项目。发现的主要问题及原因：1、为进一步做好党建工作，还必须更多的深入基层,全面掌握基层党建工作情况；2、基层党建工作发展不平衡,部分基层党组织就党建抓党建,党建工作的思路、方法有待进一步开拓创新。下一步改进措施：狠抓工作落实，定期或不定期开展党建跟踪督查，对党建工作进行严格的跟踪问效管理,确保党建工作取得新进展、新成效。</w:t>
      </w:r>
    </w:p>
    <w:p>
      <w:pPr>
        <w:spacing w:before="0" w:beforeAutospacing="1" w:after="0" w:afterAutospacing="1" w:line="560" w:lineRule="atLeast"/>
        <w:ind w:left="0" w:firstLine="640"/>
        <w:jc w:val="both"/>
        <w:rPr>
          <w:rFonts w:hint="eastAsia" w:ascii="宋体" w:hAnsi="宋体" w:eastAsia="宋体" w:cs="宋体"/>
          <w:kern w:val="0"/>
          <w:sz w:val="32"/>
          <w:szCs w:val="32"/>
        </w:rPr>
      </w:pPr>
      <w:r>
        <w:rPr>
          <w:rFonts w:hint="default" w:ascii="Times New Roman" w:hAnsi="Times New Roman" w:eastAsia="宋体" w:cs="Times New Roman"/>
          <w:kern w:val="0"/>
          <w:sz w:val="32"/>
          <w:szCs w:val="32"/>
        </w:rPr>
        <w:t>3.</w:t>
      </w:r>
      <w:r>
        <w:rPr>
          <w:rFonts w:hint="eastAsia" w:ascii="宋体" w:hAnsi="宋体" w:eastAsia="宋体" w:cs="宋体"/>
          <w:kern w:val="0"/>
          <w:sz w:val="24"/>
          <w:szCs w:val="24"/>
        </w:rPr>
        <w:t xml:space="preserve"> </w:t>
      </w:r>
      <w:r>
        <w:rPr>
          <w:rFonts w:hint="eastAsia" w:ascii="宋体" w:hAnsi="宋体" w:eastAsia="宋体" w:cs="宋体"/>
          <w:kern w:val="0"/>
          <w:sz w:val="32"/>
          <w:szCs w:val="32"/>
        </w:rPr>
        <w:t>工业园区及工业企业监管经费项目自评综述：根据年初设定的绩效目标，项目自评得分</w:t>
      </w:r>
      <w:r>
        <w:rPr>
          <w:rFonts w:hint="eastAsia" w:ascii="Times New Roman" w:hAnsi="Times New Roman" w:cs="Times New Roman"/>
          <w:kern w:val="0"/>
          <w:sz w:val="32"/>
          <w:szCs w:val="32"/>
          <w:lang w:val="en-US" w:eastAsia="zh-CN"/>
        </w:rPr>
        <w:t>99.73</w:t>
      </w:r>
      <w:r>
        <w:rPr>
          <w:rFonts w:hint="eastAsia" w:ascii="宋体" w:hAnsi="宋体" w:eastAsia="宋体" w:cs="宋体"/>
          <w:kern w:val="0"/>
          <w:sz w:val="32"/>
          <w:szCs w:val="32"/>
        </w:rPr>
        <w:t>分。全年预算数为</w:t>
      </w:r>
      <w:r>
        <w:rPr>
          <w:rFonts w:hint="default" w:ascii="Times New Roman" w:hAnsi="Times New Roman" w:eastAsia="宋体" w:cs="Times New Roman"/>
          <w:kern w:val="0"/>
          <w:sz w:val="32"/>
          <w:szCs w:val="32"/>
        </w:rPr>
        <w:t xml:space="preserve"> 50</w:t>
      </w:r>
      <w:r>
        <w:rPr>
          <w:rFonts w:hint="eastAsia" w:ascii="宋体" w:hAnsi="宋体" w:eastAsia="宋体" w:cs="宋体"/>
          <w:kern w:val="0"/>
          <w:sz w:val="32"/>
          <w:szCs w:val="32"/>
        </w:rPr>
        <w:t>万元，执行数为</w:t>
      </w:r>
      <w:r>
        <w:rPr>
          <w:rFonts w:hint="default" w:ascii="Times New Roman" w:hAnsi="Times New Roman" w:eastAsia="宋体" w:cs="Times New Roman"/>
          <w:kern w:val="0"/>
          <w:sz w:val="32"/>
          <w:szCs w:val="32"/>
        </w:rPr>
        <w:t>49.55</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rPr>
        <w:t xml:space="preserve"> 99.1</w:t>
      </w:r>
      <w:r>
        <w:rPr>
          <w:rFonts w:hint="eastAsia" w:ascii="宋体" w:hAnsi="宋体" w:eastAsia="宋体" w:cs="宋体"/>
          <w:kern w:val="0"/>
          <w:sz w:val="32"/>
          <w:szCs w:val="32"/>
        </w:rPr>
        <w:t>%。项目绩效目标完成情况：提质效、优配套，推动工业园区高质量发展。培育打造产值超千亿园区1个、超800亿园区1个，超500亿元园区3个,超300亿园区3个，加快形成“1133”梯次发展格局。坚持以“亩均论英雄”，逐步建立以工业园区亩均效益为导向的产业发展路径，亩均产值较2021年底提升50%。发现的主要问题及原因：</w:t>
      </w:r>
      <w:r>
        <w:rPr>
          <w:rFonts w:hint="eastAsia" w:cs="宋体"/>
          <w:kern w:val="0"/>
          <w:sz w:val="32"/>
          <w:szCs w:val="32"/>
          <w:lang w:eastAsia="zh-CN"/>
        </w:rPr>
        <w:t>资金使用基本完成，项目立项规范、有序执行，不存在问题</w:t>
      </w:r>
      <w:r>
        <w:rPr>
          <w:rFonts w:hint="eastAsia" w:ascii="宋体" w:hAnsi="宋体" w:eastAsia="宋体" w:cs="宋体"/>
          <w:kern w:val="0"/>
          <w:sz w:val="32"/>
          <w:szCs w:val="32"/>
        </w:rPr>
        <w:t>。下一步改进措施：</w:t>
      </w:r>
      <w:r>
        <w:rPr>
          <w:rFonts w:hint="eastAsia" w:cs="宋体"/>
          <w:kern w:val="0"/>
          <w:sz w:val="32"/>
          <w:szCs w:val="32"/>
          <w:lang w:eastAsia="zh-CN"/>
        </w:rPr>
        <w:t>继续提升预算资金绩效管理水平，优化绩效指标设定</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32"/>
          <w:szCs w:val="32"/>
        </w:rPr>
      </w:pPr>
      <w:r>
        <w:rPr>
          <w:rFonts w:hint="default" w:ascii="Times New Roman" w:hAnsi="Times New Roman" w:eastAsia="宋体" w:cs="Times New Roman"/>
          <w:kern w:val="0"/>
          <w:sz w:val="32"/>
          <w:szCs w:val="32"/>
        </w:rPr>
        <w:t>4.</w:t>
      </w:r>
      <w:r>
        <w:rPr>
          <w:rFonts w:hint="eastAsia" w:ascii="宋体" w:hAnsi="宋体" w:eastAsia="宋体" w:cs="宋体"/>
          <w:kern w:val="0"/>
          <w:sz w:val="24"/>
          <w:szCs w:val="24"/>
        </w:rPr>
        <w:t xml:space="preserve"> </w:t>
      </w:r>
      <w:r>
        <w:rPr>
          <w:rFonts w:hint="eastAsia" w:ascii="宋体" w:hAnsi="宋体" w:eastAsia="宋体" w:cs="宋体"/>
          <w:kern w:val="0"/>
          <w:sz w:val="32"/>
          <w:szCs w:val="32"/>
        </w:rPr>
        <w:t>国有企业转制退休人员慰问经费项目自评综述：根据年初设定的绩效目标，项目自评得分</w:t>
      </w:r>
      <w:r>
        <w:rPr>
          <w:rFonts w:hint="default" w:ascii="Times New Roman" w:hAnsi="Times New Roman" w:eastAsia="宋体" w:cs="Times New Roman"/>
          <w:kern w:val="0"/>
          <w:sz w:val="32"/>
          <w:szCs w:val="32"/>
        </w:rPr>
        <w:t>100</w:t>
      </w:r>
      <w:r>
        <w:rPr>
          <w:rFonts w:hint="eastAsia" w:ascii="宋体" w:hAnsi="宋体" w:eastAsia="宋体" w:cs="宋体"/>
          <w:kern w:val="0"/>
          <w:sz w:val="32"/>
          <w:szCs w:val="32"/>
        </w:rPr>
        <w:t>分。全年预算数为</w:t>
      </w:r>
      <w:r>
        <w:rPr>
          <w:rFonts w:hint="default" w:ascii="Times New Roman" w:hAnsi="Times New Roman" w:eastAsia="宋体" w:cs="Times New Roman"/>
          <w:kern w:val="0"/>
          <w:sz w:val="32"/>
          <w:szCs w:val="32"/>
        </w:rPr>
        <w:t xml:space="preserve"> 26</w:t>
      </w:r>
      <w:r>
        <w:rPr>
          <w:rFonts w:hint="eastAsia" w:ascii="宋体" w:hAnsi="宋体" w:eastAsia="宋体" w:cs="宋体"/>
          <w:kern w:val="0"/>
          <w:sz w:val="32"/>
          <w:szCs w:val="32"/>
        </w:rPr>
        <w:t>万元，执行数为</w:t>
      </w:r>
      <w:r>
        <w:rPr>
          <w:rFonts w:hint="default" w:ascii="Times New Roman" w:hAnsi="Times New Roman" w:eastAsia="宋体" w:cs="Times New Roman"/>
          <w:kern w:val="0"/>
          <w:sz w:val="32"/>
          <w:szCs w:val="32"/>
        </w:rPr>
        <w:t>26</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rPr>
        <w:t xml:space="preserve"> 100</w:t>
      </w:r>
      <w:r>
        <w:rPr>
          <w:rFonts w:hint="eastAsia" w:ascii="宋体" w:hAnsi="宋体" w:eastAsia="宋体" w:cs="宋体"/>
          <w:kern w:val="0"/>
          <w:sz w:val="32"/>
          <w:szCs w:val="32"/>
        </w:rPr>
        <w:t>%。项目绩效目标完成情况：2022年1月下旬已完成国有企业转制13名留守人员、退休后生活困难人员，已将每人2万元生活补贴发放到位。发现的主要问题及原因：无。下一步改进措施：</w:t>
      </w:r>
      <w:r>
        <w:rPr>
          <w:rFonts w:hint="eastAsia" w:cs="宋体"/>
          <w:kern w:val="0"/>
          <w:sz w:val="32"/>
          <w:szCs w:val="32"/>
          <w:lang w:eastAsia="zh-CN"/>
        </w:rPr>
        <w:t>强化绩效指标可行性，优化绩效指标设定</w:t>
      </w:r>
      <w:r>
        <w:rPr>
          <w:rFonts w:hint="eastAsia" w:ascii="宋体" w:hAnsi="宋体" w:eastAsia="宋体" w:cs="宋体"/>
          <w:kern w:val="0"/>
          <w:sz w:val="32"/>
          <w:szCs w:val="32"/>
        </w:rPr>
        <w:t>。</w:t>
      </w:r>
    </w:p>
    <w:p>
      <w:pPr>
        <w:spacing w:before="0" w:beforeAutospacing="1" w:after="0" w:afterAutospacing="1" w:line="560" w:lineRule="atLeast"/>
        <w:ind w:left="0" w:firstLine="640"/>
        <w:jc w:val="both"/>
        <w:rPr>
          <w:rFonts w:hint="eastAsia" w:ascii="宋体" w:hAnsi="宋体" w:eastAsia="宋体" w:cs="宋体"/>
          <w:kern w:val="0"/>
          <w:sz w:val="32"/>
          <w:szCs w:val="32"/>
        </w:rPr>
      </w:pPr>
      <w:r>
        <w:rPr>
          <w:rFonts w:hint="default" w:ascii="Times New Roman" w:hAnsi="Times New Roman" w:eastAsia="宋体" w:cs="Times New Roman"/>
          <w:kern w:val="0"/>
          <w:sz w:val="32"/>
          <w:szCs w:val="32"/>
        </w:rPr>
        <w:t>5.</w:t>
      </w:r>
      <w:r>
        <w:rPr>
          <w:rFonts w:hint="eastAsia" w:ascii="宋体" w:hAnsi="宋体" w:eastAsia="宋体" w:cs="宋体"/>
          <w:kern w:val="0"/>
          <w:sz w:val="24"/>
          <w:szCs w:val="24"/>
        </w:rPr>
        <w:t xml:space="preserve"> </w:t>
      </w:r>
      <w:r>
        <w:rPr>
          <w:rFonts w:hint="eastAsia" w:ascii="宋体" w:hAnsi="宋体" w:eastAsia="宋体" w:cs="宋体"/>
          <w:kern w:val="0"/>
          <w:sz w:val="32"/>
          <w:szCs w:val="32"/>
        </w:rPr>
        <w:t>民爆检查社会购买服务经费项目自评综述：根据年初设定的绩效目标，项目自评得分</w:t>
      </w:r>
      <w:r>
        <w:rPr>
          <w:rFonts w:hint="default" w:ascii="Times New Roman" w:hAnsi="Times New Roman" w:eastAsia="宋体" w:cs="Times New Roman"/>
          <w:kern w:val="0"/>
          <w:sz w:val="32"/>
          <w:szCs w:val="32"/>
        </w:rPr>
        <w:t>99.36</w:t>
      </w:r>
      <w:r>
        <w:rPr>
          <w:rFonts w:hint="eastAsia" w:ascii="宋体" w:hAnsi="宋体" w:eastAsia="宋体" w:cs="宋体"/>
          <w:kern w:val="0"/>
          <w:sz w:val="32"/>
          <w:szCs w:val="32"/>
        </w:rPr>
        <w:t>分。全年预算数为</w:t>
      </w:r>
      <w:r>
        <w:rPr>
          <w:rFonts w:hint="default" w:ascii="Times New Roman" w:hAnsi="Times New Roman" w:eastAsia="宋体" w:cs="Times New Roman"/>
          <w:kern w:val="0"/>
          <w:sz w:val="32"/>
          <w:szCs w:val="32"/>
        </w:rPr>
        <w:t>20</w:t>
      </w:r>
      <w:r>
        <w:rPr>
          <w:rFonts w:hint="eastAsia" w:ascii="宋体" w:hAnsi="宋体" w:eastAsia="宋体" w:cs="宋体"/>
          <w:kern w:val="0"/>
          <w:sz w:val="32"/>
          <w:szCs w:val="32"/>
        </w:rPr>
        <w:t>万元，执行数为</w:t>
      </w:r>
      <w:r>
        <w:rPr>
          <w:rFonts w:hint="default" w:ascii="Times New Roman" w:hAnsi="Times New Roman" w:eastAsia="宋体" w:cs="Times New Roman"/>
          <w:kern w:val="0"/>
          <w:sz w:val="32"/>
          <w:szCs w:val="32"/>
        </w:rPr>
        <w:t>19.57</w:t>
      </w:r>
      <w:r>
        <w:rPr>
          <w:rFonts w:hint="eastAsia" w:ascii="宋体" w:hAnsi="宋体" w:eastAsia="宋体" w:cs="宋体"/>
          <w:kern w:val="0"/>
          <w:sz w:val="32"/>
          <w:szCs w:val="32"/>
        </w:rPr>
        <w:t>万元，完成预算的</w:t>
      </w:r>
      <w:r>
        <w:rPr>
          <w:rFonts w:hint="default" w:ascii="Times New Roman" w:hAnsi="Times New Roman" w:eastAsia="宋体" w:cs="Times New Roman"/>
          <w:kern w:val="0"/>
          <w:sz w:val="32"/>
          <w:szCs w:val="32"/>
        </w:rPr>
        <w:t>97.85</w:t>
      </w:r>
      <w:r>
        <w:rPr>
          <w:rFonts w:hint="eastAsia" w:ascii="宋体" w:hAnsi="宋体" w:eastAsia="宋体" w:cs="宋体"/>
          <w:kern w:val="0"/>
          <w:sz w:val="32"/>
          <w:szCs w:val="32"/>
        </w:rPr>
        <w:t>%。项目绩效目标完成情况：2022年无安全生产事故。按季度聘请民爆行业专家组成联合检查组，对全市民用爆物品生产、销售企业进行安全生产检查，全年共花费用20万元。发现的主要问题及原因：</w:t>
      </w:r>
      <w:r>
        <w:rPr>
          <w:rFonts w:hint="eastAsia" w:cs="宋体"/>
          <w:kern w:val="0"/>
          <w:sz w:val="32"/>
          <w:szCs w:val="32"/>
          <w:lang w:eastAsia="zh-CN"/>
        </w:rPr>
        <w:t>资金使用基本完成，项目立项规范、有序执行，不存在问题</w:t>
      </w:r>
      <w:r>
        <w:rPr>
          <w:rFonts w:hint="eastAsia" w:ascii="宋体" w:hAnsi="宋体" w:eastAsia="宋体" w:cs="宋体"/>
          <w:kern w:val="0"/>
          <w:sz w:val="32"/>
          <w:szCs w:val="32"/>
        </w:rPr>
        <w:t>。下一步改进措施：</w:t>
      </w:r>
      <w:r>
        <w:rPr>
          <w:rFonts w:hint="eastAsia" w:cs="宋体"/>
          <w:kern w:val="0"/>
          <w:sz w:val="32"/>
          <w:szCs w:val="32"/>
          <w:lang w:val="en-US" w:eastAsia="zh-CN"/>
        </w:rPr>
        <w:t>将进一步结合工作实际，科学做好资金预算申请工作，充分发挥资金作用</w:t>
      </w:r>
      <w:r>
        <w:rPr>
          <w:rFonts w:hint="eastAsia" w:ascii="宋体" w:hAnsi="宋体" w:eastAsia="宋体" w:cs="宋体"/>
          <w:kern w:val="0"/>
          <w:sz w:val="32"/>
          <w:szCs w:val="32"/>
        </w:rPr>
        <w:t>。</w:t>
      </w: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0"/>
        <w:gridCol w:w="515"/>
        <w:gridCol w:w="770"/>
        <w:gridCol w:w="829"/>
        <w:gridCol w:w="500"/>
        <w:gridCol w:w="500"/>
        <w:gridCol w:w="836"/>
        <w:gridCol w:w="983"/>
        <w:gridCol w:w="783"/>
        <w:gridCol w:w="626"/>
        <w:gridCol w:w="626"/>
        <w:gridCol w:w="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59"/>
                <w:lang w:val="en-US" w:eastAsia="zh-CN" w:bidi="ar"/>
              </w:rPr>
            </w:pPr>
            <w:r>
              <w:rPr>
                <w:rStyle w:val="59"/>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Style w:val="59"/>
                <w:lang w:val="en-US" w:eastAsia="zh-CN" w:bidi="ar"/>
              </w:rPr>
              <w:t>(2022</w:t>
            </w:r>
            <w:r>
              <w:rPr>
                <w:rStyle w:val="60"/>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办公自动化OA运行维护经费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鄂尔多斯市工业和信息化局（部门）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鄂尔多斯市工业和信息化局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24"/>
                <w:szCs w:val="24"/>
                <w:u w:val="none"/>
              </w:rPr>
            </w:pPr>
            <w:r>
              <w:rPr>
                <w:rFonts w:hint="default" w:ascii="Arial" w:hAnsi="Arial" w:eastAsia="宋体" w:cs="Arial"/>
                <w:i w:val="0"/>
                <w:iCs w:val="0"/>
                <w:color w:val="222222"/>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4"/>
                <w:szCs w:val="24"/>
                <w:u w:val="none"/>
              </w:rPr>
            </w:pPr>
            <w:r>
              <w:rPr>
                <w:rFonts w:hint="default" w:ascii="Arial" w:hAnsi="Arial" w:eastAsia="宋体" w:cs="Arial"/>
                <w:i w:val="0"/>
                <w:iCs w:val="0"/>
                <w:color w:val="222222"/>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4"/>
                <w:szCs w:val="24"/>
                <w:u w:val="none"/>
              </w:rPr>
            </w:pPr>
            <w:r>
              <w:rPr>
                <w:rFonts w:hint="default" w:ascii="Arial" w:hAnsi="Arial" w:eastAsia="宋体" w:cs="Arial"/>
                <w:i w:val="0"/>
                <w:iCs w:val="0"/>
                <w:color w:val="222222"/>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4"/>
                <w:szCs w:val="24"/>
                <w:u w:val="none"/>
              </w:rPr>
            </w:pPr>
            <w:r>
              <w:rPr>
                <w:rFonts w:hint="default" w:ascii="Arial" w:hAnsi="Arial" w:eastAsia="宋体" w:cs="Arial"/>
                <w:i w:val="0"/>
                <w:iCs w:val="0"/>
                <w:color w:val="222222"/>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4"/>
                <w:szCs w:val="24"/>
                <w:u w:val="none"/>
              </w:rPr>
            </w:pPr>
            <w:r>
              <w:rPr>
                <w:rFonts w:hint="default" w:ascii="Arial" w:hAnsi="Arial" w:eastAsia="宋体" w:cs="Arial"/>
                <w:i w:val="0"/>
                <w:iCs w:val="0"/>
                <w:color w:val="222222"/>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4"/>
                <w:szCs w:val="24"/>
                <w:u w:val="none"/>
              </w:rPr>
            </w:pPr>
            <w:r>
              <w:rPr>
                <w:rFonts w:hint="default" w:ascii="Arial" w:hAnsi="Arial" w:eastAsia="宋体" w:cs="Arial"/>
                <w:i w:val="0"/>
                <w:iCs w:val="0"/>
                <w:color w:val="222222"/>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无纸化（OA）办公系统租赁费及办公系统更行、升级新增功能模块与修改费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2022年服务单位及时准确维修、维护了办公设备，同时按照规划进度完成既定数据迁移工作。保障了办公设备正常运转、充分发挥OA的优势。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技术支持服务器日常维护</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服务器故障率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提供技术服务时间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2022年1月-2022年12月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2022年1月-2022年12月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技术支持服务器日常维护</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保障服务系统可持续影响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各部门使用满意度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pacing w:before="0" w:beforeAutospacing="1" w:after="0" w:afterAutospacing="1" w:line="560" w:lineRule="atLeast"/>
        <w:ind w:left="0" w:firstLine="640"/>
        <w:jc w:val="both"/>
        <w:rPr>
          <w:rFonts w:hint="eastAsia" w:ascii="宋体" w:hAnsi="宋体" w:eastAsia="宋体" w:cs="宋体"/>
          <w:kern w:val="0"/>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
        <w:gridCol w:w="462"/>
        <w:gridCol w:w="659"/>
        <w:gridCol w:w="824"/>
        <w:gridCol w:w="446"/>
        <w:gridCol w:w="446"/>
        <w:gridCol w:w="734"/>
        <w:gridCol w:w="1131"/>
        <w:gridCol w:w="790"/>
        <w:gridCol w:w="594"/>
        <w:gridCol w:w="782"/>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w:t>
            </w:r>
            <w:r>
              <w:rPr>
                <w:rFonts w:hint="eastAsia" w:cs="宋体"/>
                <w:b/>
                <w:bCs/>
                <w:i w:val="0"/>
                <w:iCs w:val="0"/>
                <w:color w:val="000000"/>
                <w:kern w:val="0"/>
                <w:sz w:val="40"/>
                <w:szCs w:val="40"/>
                <w:u w:val="none"/>
                <w:lang w:val="en-US" w:eastAsia="zh-CN" w:bidi="ar"/>
              </w:rPr>
              <w:t>2</w:t>
            </w:r>
            <w:r>
              <w:rPr>
                <w:rFonts w:hint="eastAsia" w:ascii="宋体" w:hAnsi="宋体" w:eastAsia="宋体" w:cs="宋体"/>
                <w:b/>
                <w:bCs/>
                <w:i w:val="0"/>
                <w:iCs w:val="0"/>
                <w:color w:val="000000"/>
                <w:kern w:val="0"/>
                <w:sz w:val="40"/>
                <w:szCs w:val="4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党的建设、意识形态、改革调研工作经费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鄂尔多斯市工业和信息化局（部门）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确保党的建设、意识形态、改革调研工作的有效开展。</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的建设经费为25万元计划用于党员教育培训、党建阵地建设、主题党日活动、购买党建书籍、举办党建知识竞赛等项目；意识形态经费10万元计划用于意识形态宣传、意识形态培训等项目；改革调研经费15万元计划用于党建创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培训党员人数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阵地建设数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党日活动开展数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党员培训参与率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阵地建设效果</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党日活动开展效果</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党员培训完成时间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2022年1月-2022年12月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2022年1月-2022年12月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阵地建设完成时间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2022年1月-2022年12月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2022年1月-2022年12月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党日活动完成时间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2022年1月-2022年12月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2022年1月-2022年12月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党员培训经费</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党建阵地建设费用</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党日活动经费</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提升党干部党性修养</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提升党建意识形态工作水平</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提升服务群众满意度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有效提高</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增强党员干部党性修养</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长期坚持</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长期坚持</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党员干部队伍建设顺利推进</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长期坚持</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长期坚持</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受训党员满意度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基层党建工作满意度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before="0" w:beforeAutospacing="1" w:after="0" w:afterAutospacing="1" w:line="560" w:lineRule="atLeast"/>
        <w:ind w:left="0" w:firstLine="640"/>
        <w:jc w:val="both"/>
        <w:rPr>
          <w:rFonts w:hint="eastAsia" w:ascii="宋体" w:hAnsi="宋体" w:eastAsia="宋体" w:cs="宋体"/>
          <w:kern w:val="0"/>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
        <w:gridCol w:w="423"/>
        <w:gridCol w:w="751"/>
        <w:gridCol w:w="981"/>
        <w:gridCol w:w="506"/>
        <w:gridCol w:w="506"/>
        <w:gridCol w:w="774"/>
        <w:gridCol w:w="966"/>
        <w:gridCol w:w="758"/>
        <w:gridCol w:w="581"/>
        <w:gridCol w:w="772"/>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w:t>
            </w:r>
            <w:r>
              <w:rPr>
                <w:rFonts w:hint="eastAsia" w:cs="宋体"/>
                <w:b/>
                <w:bCs/>
                <w:i w:val="0"/>
                <w:iCs w:val="0"/>
                <w:color w:val="000000"/>
                <w:kern w:val="0"/>
                <w:sz w:val="40"/>
                <w:szCs w:val="40"/>
                <w:u w:val="none"/>
                <w:lang w:val="en-US" w:eastAsia="zh-CN" w:bidi="ar"/>
              </w:rPr>
              <w:t>2</w:t>
            </w:r>
            <w:r>
              <w:rPr>
                <w:rFonts w:hint="eastAsia" w:ascii="宋体" w:hAnsi="宋体" w:eastAsia="宋体" w:cs="宋体"/>
                <w:b/>
                <w:bCs/>
                <w:i w:val="0"/>
                <w:iCs w:val="0"/>
                <w:color w:val="000000"/>
                <w:kern w:val="0"/>
                <w:sz w:val="40"/>
                <w:szCs w:val="4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工业园区及工业企业监管经费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鄂尔多斯市工业和信息化局（部门）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开发区以案促改工作，抓好以案促改各项工作；工业运行综合协调，开展工业园区监管，跟踪落实园区工作落实情况；推动全市工业园区“区域评估”工作进度，保障工作经费，确保区域评估工作顺利实施；食盐质量安全监督管理，开展食盐消费、科学补碘及减盐知识宣传及盐业市场检查，对涉盐违法物品封存扣押，租赁仓储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2022年主要从以下几个方面按时完成了工作：提质效、优配套，推动工业园区高质量发展。巩固和扩大开发区以案促改、闲置要素大起底工作成效，聚焦打造千亿产值园区总体目标，认真落实《全市工业园区提质行动实施方案》，着力抓好园区提质升级，推动2022年工业园区整体工作情况：园区实力、配套、效益、创新、软环境大提升，培育打造产值超千亿园区1个、超800亿园区1个，超500亿元园区3个,超300亿园区3个，加快形成“1133”梯次发展格局。坚持以“亩均论英雄”，逐步建立以工业园区亩均效益为导向的产业发展路径，亩均产值较2021年底提升50%。推动工业园区基础设施不断升级完善，提升工业园区综合承载能力。将“亩均效益指标”纳入考核评价体系，开展半年考核工作，注重考核结果运用，激发全市工业园区发展活力及其他相关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调研时间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工业园区及工业企业监管经费</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19.82</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推动园区工作有效实施</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有效推进</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有效推进</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落实园区工作情况</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before="0" w:beforeAutospacing="1" w:after="0" w:afterAutospacing="1" w:line="560" w:lineRule="atLeast"/>
        <w:ind w:left="0" w:firstLine="640"/>
        <w:jc w:val="both"/>
        <w:rPr>
          <w:rFonts w:hint="eastAsia" w:ascii="宋体" w:hAnsi="宋体" w:eastAsia="宋体" w:cs="宋体"/>
          <w:kern w:val="0"/>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
        <w:gridCol w:w="521"/>
        <w:gridCol w:w="732"/>
        <w:gridCol w:w="993"/>
        <w:gridCol w:w="489"/>
        <w:gridCol w:w="489"/>
        <w:gridCol w:w="872"/>
        <w:gridCol w:w="851"/>
        <w:gridCol w:w="754"/>
        <w:gridCol w:w="570"/>
        <w:gridCol w:w="571"/>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w:t>
            </w:r>
            <w:r>
              <w:rPr>
                <w:rFonts w:hint="eastAsia" w:cs="宋体"/>
                <w:b/>
                <w:bCs/>
                <w:i w:val="0"/>
                <w:iCs w:val="0"/>
                <w:color w:val="000000"/>
                <w:kern w:val="0"/>
                <w:sz w:val="40"/>
                <w:szCs w:val="40"/>
                <w:u w:val="none"/>
                <w:lang w:val="en-US" w:eastAsia="zh-CN" w:bidi="ar"/>
              </w:rPr>
              <w:t>2</w:t>
            </w:r>
            <w:r>
              <w:rPr>
                <w:rFonts w:hint="eastAsia" w:ascii="宋体" w:hAnsi="宋体" w:eastAsia="宋体" w:cs="宋体"/>
                <w:b/>
                <w:bCs/>
                <w:i w:val="0"/>
                <w:iCs w:val="0"/>
                <w:color w:val="000000"/>
                <w:kern w:val="0"/>
                <w:sz w:val="40"/>
                <w:szCs w:val="4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国有企业转制退休人员慰问经费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鄂尔多斯市工业和信息化局（部门）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鄂尔多斯市工业和信息化局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国有企业转制使13名同志从国有企业转制成为留守人员，退休后生活困难，政府给予每人补贴。</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2022年1月下旬已完成国有企业转制13名留守人员、退休后生活困难人员，已将每人2万元生活补贴发放到位。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慰问人数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慰问完成率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慰问完成时间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2022年1月-2022年12月</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2022年1月底</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慰问补贴金额</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2万元/人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2万元/人</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保障困难群体正常生活</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为困难群体提供补贴可持续性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1年</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慰问对象满意度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spacing w:before="0" w:beforeAutospacing="1" w:after="0" w:afterAutospacing="1" w:line="560" w:lineRule="atLeast"/>
        <w:ind w:left="0" w:firstLine="640"/>
        <w:jc w:val="both"/>
        <w:rPr>
          <w:rFonts w:hint="eastAsia" w:ascii="宋体" w:hAnsi="宋体" w:eastAsia="宋体" w:cs="宋体"/>
          <w:kern w:val="0"/>
          <w:sz w:val="32"/>
          <w:szCs w:val="32"/>
        </w:rPr>
      </w:pPr>
    </w:p>
    <w:tbl>
      <w:tblPr>
        <w:tblStyle w:val="1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3"/>
        <w:gridCol w:w="479"/>
        <w:gridCol w:w="806"/>
        <w:gridCol w:w="898"/>
        <w:gridCol w:w="533"/>
        <w:gridCol w:w="533"/>
        <w:gridCol w:w="747"/>
        <w:gridCol w:w="873"/>
        <w:gridCol w:w="745"/>
        <w:gridCol w:w="583"/>
        <w:gridCol w:w="786"/>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r>
              <w:rPr>
                <w:rFonts w:hint="eastAsia" w:ascii="宋体" w:hAnsi="宋体" w:eastAsia="宋体" w:cs="宋体"/>
                <w:b/>
                <w:bCs/>
                <w:i w:val="0"/>
                <w:iCs w:val="0"/>
                <w:color w:val="000000"/>
                <w:kern w:val="0"/>
                <w:sz w:val="40"/>
                <w:szCs w:val="40"/>
                <w:u w:val="none"/>
                <w:lang w:val="en-US" w:eastAsia="zh-CN" w:bidi="ar"/>
              </w:rPr>
              <w:t>项目支出绩效自评表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民爆检查社会购买服务经费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鄂尔多斯市工业和信息化局（部门）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222222"/>
                <w:sz w:val="20"/>
                <w:szCs w:val="20"/>
                <w:u w:val="none"/>
              </w:rPr>
            </w:pPr>
            <w:r>
              <w:rPr>
                <w:rFonts w:hint="default" w:ascii="Arial" w:hAnsi="Arial" w:eastAsia="宋体" w:cs="Arial"/>
                <w:i w:val="0"/>
                <w:iCs w:val="0"/>
                <w:color w:val="222222"/>
                <w:kern w:val="0"/>
                <w:sz w:val="20"/>
                <w:szCs w:val="20"/>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0"/>
                <w:szCs w:val="20"/>
                <w:u w:val="none"/>
              </w:rPr>
            </w:pPr>
            <w:r>
              <w:rPr>
                <w:rFonts w:hint="default" w:ascii="Arial" w:hAnsi="Arial" w:eastAsia="宋体" w:cs="Arial"/>
                <w:i w:val="0"/>
                <w:iCs w:val="0"/>
                <w:color w:val="222222"/>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上年结转资金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0"/>
                <w:szCs w:val="20"/>
                <w:u w:val="none"/>
              </w:rPr>
            </w:pPr>
            <w:r>
              <w:rPr>
                <w:rFonts w:hint="default" w:ascii="Arial" w:hAnsi="Arial" w:eastAsia="宋体" w:cs="Arial"/>
                <w:i w:val="0"/>
                <w:iCs w:val="0"/>
                <w:color w:val="222222"/>
                <w:kern w:val="0"/>
                <w:sz w:val="20"/>
                <w:szCs w:val="20"/>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0"/>
                <w:szCs w:val="20"/>
                <w:u w:val="none"/>
              </w:rPr>
            </w:pPr>
            <w:r>
              <w:rPr>
                <w:rFonts w:hint="default" w:ascii="Arial" w:hAnsi="Arial" w:eastAsia="宋体" w:cs="Arial"/>
                <w:i w:val="0"/>
                <w:iCs w:val="0"/>
                <w:color w:val="222222"/>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0"/>
                <w:szCs w:val="20"/>
                <w:u w:val="none"/>
              </w:rPr>
            </w:pPr>
            <w:r>
              <w:rPr>
                <w:rFonts w:hint="default" w:ascii="Arial" w:hAnsi="Arial" w:eastAsia="宋体" w:cs="Arial"/>
                <w:i w:val="0"/>
                <w:iCs w:val="0"/>
                <w:color w:val="222222"/>
                <w:kern w:val="0"/>
                <w:sz w:val="20"/>
                <w:szCs w:val="20"/>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222222"/>
                <w:sz w:val="20"/>
                <w:szCs w:val="20"/>
                <w:u w:val="none"/>
              </w:rPr>
            </w:pPr>
            <w:r>
              <w:rPr>
                <w:rFonts w:hint="default" w:ascii="Arial" w:hAnsi="Arial" w:eastAsia="宋体" w:cs="Arial"/>
                <w:i w:val="0"/>
                <w:iCs w:val="0"/>
                <w:color w:val="222222"/>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为消除隐患，聘请民爆行业专家组成联合检查组，按季度对全市民易爆物品生产、销售企业进行安全生产检查，全年共需费用20万元。</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2022年无安全生产事故。按季度聘请民爆行业专家组成联合检查组，对全市民用爆物品生产、销售企业进行安全生产检查，全年共花费用20万元。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指标方向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全年检查次数</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4次</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每季度至少一次</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安全检查费用</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19.57</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19.57</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安全生产无事故</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全市民爆企业</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正向</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大于等于</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spacing w:before="0" w:beforeAutospacing="1" w:after="0" w:afterAutospacing="1" w:line="560" w:lineRule="atLeast"/>
        <w:jc w:val="both"/>
        <w:rPr>
          <w:rFonts w:hint="eastAsia" w:ascii="宋体" w:hAnsi="宋体" w:eastAsia="宋体" w:cs="宋体"/>
          <w:kern w:val="0"/>
          <w:sz w:val="32"/>
          <w:szCs w:val="32"/>
        </w:rPr>
      </w:pPr>
    </w:p>
    <w:p>
      <w:pPr>
        <w:spacing w:before="0" w:beforeAutospacing="1" w:after="0" w:afterAutospacing="1" w:line="56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楷体" w:hAnsi="楷体" w:eastAsia="楷体" w:cs="楷体"/>
          <w:b/>
          <w:bCs/>
          <w:kern w:val="0"/>
          <w:sz w:val="32"/>
          <w:szCs w:val="32"/>
        </w:rPr>
        <w:t>（三）单位项目绩效评价结果。</w:t>
      </w:r>
    </w:p>
    <w:p>
      <w:pPr>
        <w:spacing w:before="0" w:beforeAutospacing="1" w:after="0" w:afterAutospacing="1"/>
        <w:ind w:left="0" w:firstLine="640"/>
        <w:jc w:val="both"/>
        <w:rPr>
          <w:rFonts w:hint="eastAsia" w:ascii="仿宋" w:hAnsi="仿宋" w:eastAsia="仿宋" w:cs="仿宋"/>
          <w:b/>
          <w:bCs/>
          <w:i w:val="0"/>
          <w:iCs w:val="0"/>
          <w:color w:val="000000"/>
          <w:kern w:val="0"/>
          <w:sz w:val="52"/>
          <w:szCs w:val="52"/>
          <w:u w:val="none"/>
          <w:lang w:val="en-US" w:eastAsia="zh-CN" w:bidi="ar"/>
        </w:rPr>
      </w:pPr>
      <w:r>
        <w:rPr>
          <w:rFonts w:hint="eastAsia" w:ascii="宋体" w:hAnsi="宋体" w:eastAsia="宋体" w:cs="宋体"/>
          <w:kern w:val="0"/>
          <w:sz w:val="32"/>
          <w:szCs w:val="32"/>
        </w:rPr>
        <w:t>以</w:t>
      </w:r>
      <w:r>
        <w:rPr>
          <w:rFonts w:hint="default" w:ascii="宋体" w:hAnsi="宋体" w:eastAsia="宋体" w:cs="宋体"/>
          <w:kern w:val="0"/>
          <w:sz w:val="32"/>
          <w:szCs w:val="32"/>
        </w:rPr>
        <w:t>党的建设、意识形态、改革调研工作经费</w:t>
      </w:r>
      <w:r>
        <w:rPr>
          <w:rFonts w:hint="eastAsia" w:ascii="宋体" w:hAnsi="宋体" w:eastAsia="宋体" w:cs="宋体"/>
          <w:kern w:val="0"/>
          <w:sz w:val="32"/>
          <w:szCs w:val="32"/>
        </w:rPr>
        <w:t>项目为例，该项目绩效评价综合得分为</w:t>
      </w:r>
      <w:r>
        <w:rPr>
          <w:rFonts w:hint="default" w:ascii="Times New Roman" w:hAnsi="Times New Roman" w:eastAsia="宋体" w:cs="Times New Roman"/>
          <w:kern w:val="0"/>
          <w:sz w:val="32"/>
          <w:szCs w:val="32"/>
        </w:rPr>
        <w:t>99.99</w:t>
      </w:r>
      <w:r>
        <w:rPr>
          <w:rFonts w:hint="eastAsia" w:ascii="宋体" w:hAnsi="宋体" w:eastAsia="宋体" w:cs="宋体"/>
          <w:kern w:val="0"/>
          <w:sz w:val="32"/>
          <w:szCs w:val="32"/>
        </w:rPr>
        <w:t>分，绩效评价结果为</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优</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。重点项目绩效评价得分情况详见单位具体绩效评价结果。</w:t>
      </w:r>
    </w:p>
    <w:p>
      <w:pPr>
        <w:ind w:left="0" w:leftChars="0" w:firstLine="0" w:firstLineChars="0"/>
        <w:jc w:val="center"/>
        <w:rPr>
          <w:rFonts w:hint="eastAsia" w:ascii="仿宋" w:hAnsi="仿宋" w:eastAsia="仿宋" w:cs="仿宋"/>
          <w:b/>
          <w:bCs/>
          <w:i w:val="0"/>
          <w:iCs w:val="0"/>
          <w:color w:val="000000"/>
          <w:kern w:val="0"/>
          <w:sz w:val="52"/>
          <w:szCs w:val="52"/>
          <w:u w:val="none"/>
          <w:lang w:val="en-US" w:eastAsia="zh-CN" w:bidi="ar"/>
        </w:rPr>
      </w:pPr>
      <w:r>
        <w:rPr>
          <w:rFonts w:hint="eastAsia" w:ascii="仿宋" w:hAnsi="仿宋" w:eastAsia="仿宋" w:cs="仿宋"/>
          <w:b/>
          <w:bCs/>
          <w:i w:val="0"/>
          <w:iCs w:val="0"/>
          <w:color w:val="000000"/>
          <w:kern w:val="0"/>
          <w:sz w:val="52"/>
          <w:szCs w:val="52"/>
          <w:u w:val="none"/>
          <w:lang w:val="en-US" w:eastAsia="zh-CN" w:bidi="ar"/>
        </w:rPr>
        <w:t>预算绩效评价报告</w:t>
      </w:r>
    </w:p>
    <w:p>
      <w:pPr>
        <w:pStyle w:val="11"/>
        <w:keepNext w:val="0"/>
        <w:keepLines w:val="0"/>
        <w:widowControl/>
        <w:suppressLineNumbers w:val="0"/>
        <w:shd w:val="clear" w:fill="FFFFFF"/>
        <w:ind w:left="0" w:leftChars="0"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w:t>
      </w:r>
      <w:r>
        <w:rPr>
          <w:rFonts w:ascii="仿宋" w:hAnsi="仿宋" w:eastAsia="仿宋" w:cs="仿宋"/>
          <w:b/>
          <w:color w:val="000000"/>
          <w:sz w:val="36"/>
        </w:rPr>
        <w:t>2022</w:t>
      </w:r>
      <w:r>
        <w:rPr>
          <w:rFonts w:hint="eastAsia" w:ascii="仿宋" w:hAnsi="仿宋" w:eastAsia="仿宋" w:cs="仿宋"/>
          <w:b/>
          <w:bCs/>
          <w:i w:val="0"/>
          <w:iCs w:val="0"/>
          <w:color w:val="000000"/>
          <w:kern w:val="0"/>
          <w:sz w:val="36"/>
          <w:szCs w:val="36"/>
          <w:u w:val="none"/>
          <w:lang w:val="en-US" w:eastAsia="zh-CN" w:bidi="ar"/>
        </w:rPr>
        <w:t>年度）</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ind w:left="3202" w:leftChars="665" w:hanging="1606" w:hanging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项目名称：</w:t>
      </w:r>
      <w:r>
        <w:rPr>
          <w:rFonts w:ascii="仿宋" w:hAnsi="仿宋" w:eastAsia="仿宋" w:cs="仿宋"/>
          <w:b/>
          <w:sz w:val="32"/>
        </w:rPr>
        <w:t>党的建设、意识形态、改革调研工作经费</w:t>
      </w:r>
    </w:p>
    <w:p>
      <w:pPr>
        <w:ind w:left="3202" w:leftChars="665" w:hanging="1606" w:hanging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主管部门：</w:t>
      </w:r>
      <w:r>
        <w:rPr>
          <w:rFonts w:ascii="仿宋" w:hAnsi="仿宋" w:eastAsia="仿宋" w:cs="仿宋"/>
          <w:b/>
          <w:sz w:val="32"/>
        </w:rPr>
        <w:t>鄂尔多斯市工业和信息化局（部门）</w:t>
      </w:r>
    </w:p>
    <w:p>
      <w:pPr>
        <w:keepNext w:val="0"/>
        <w:keepLines w:val="0"/>
        <w:pageBreakBefore w:val="0"/>
        <w:widowControl/>
        <w:kinsoku/>
        <w:wordWrap/>
        <w:overflowPunct/>
        <w:topLinePunct w:val="0"/>
        <w:autoSpaceDE/>
        <w:autoSpaceDN/>
        <w:bidi w:val="0"/>
        <w:adjustRightInd/>
        <w:snapToGrid/>
        <w:spacing w:line="620" w:lineRule="exact"/>
        <w:ind w:left="0" w:firstLine="0"/>
        <w:jc w:val="center"/>
        <w:textAlignment w:val="auto"/>
        <w:rPr>
          <w:rFonts w:hint="default" w:ascii="方正小标宋简体" w:hAnsi="宋体" w:eastAsia="方正小标宋简体" w:cs="方正小标宋简体"/>
          <w:kern w:val="0"/>
          <w:sz w:val="44"/>
          <w:szCs w:val="44"/>
        </w:rPr>
      </w:pPr>
      <w:r>
        <w:rPr>
          <w:rFonts w:hint="default" w:ascii="方正小标宋简体" w:hAnsi="方正小标宋简体" w:eastAsia="方正小标宋简体" w:cs="方正小标宋简体"/>
          <w:kern w:val="0"/>
          <w:sz w:val="44"/>
          <w:szCs w:val="44"/>
        </w:rPr>
        <w:t>2022年党的建设、意识形态、改革调研工作经费项目绩效评价报告</w:t>
      </w:r>
    </w:p>
    <w:p>
      <w:pPr>
        <w:keepNext w:val="0"/>
        <w:keepLines w:val="0"/>
        <w:widowControl w:val="0"/>
        <w:numPr>
          <w:ilvl w:val="0"/>
          <w:numId w:val="1"/>
        </w:numPr>
        <w:suppressLineNumbers w:val="0"/>
        <w:ind w:left="0" w:firstLine="0"/>
        <w:jc w:val="both"/>
        <w:rPr>
          <w:rFonts w:hint="eastAsia" w:ascii="仿宋" w:hAnsi="仿宋" w:eastAsia="仿宋" w:cs="仿宋"/>
          <w:b/>
          <w:bCs/>
          <w:kern w:val="0"/>
          <w:sz w:val="32"/>
          <w:szCs w:val="32"/>
        </w:rPr>
      </w:pPr>
      <w:r>
        <w:rPr>
          <w:rFonts w:hint="eastAsia" w:ascii="仿宋" w:hAnsi="仿宋" w:eastAsia="仿宋" w:cs="仿宋"/>
          <w:b/>
          <w:bCs/>
          <w:kern w:val="0"/>
          <w:sz w:val="32"/>
          <w:szCs w:val="32"/>
        </w:rPr>
        <w:t>项目基本情况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（一）项目基本情况简介。</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确保党的建设、意识形态、改革调研工作的有效开展。</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绩效目标设定及指标完成情况。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预期目标：确保党的建设、意识形态、改革调研工作的有效开展。</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绩效目标实际完成情况：党的建设经费为25万元计划用于党员教育培训、党建阵地建设、主题党日活动、购买党建书籍、举办党建知识竞赛等项目；意识形态经费10万元计划用于意识形态宣传、意识形态培训等项目；改革调研经费15万元计划用于党建创新项目。</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绩效</w:t>
      </w:r>
      <w:r>
        <w:rPr>
          <w:rFonts w:hint="eastAsia" w:cs="宋体"/>
          <w:kern w:val="0"/>
          <w:sz w:val="32"/>
          <w:szCs w:val="32"/>
          <w:lang w:val="en-US" w:eastAsia="zh-CN"/>
        </w:rPr>
        <w:t>评价</w:t>
      </w:r>
      <w:r>
        <w:rPr>
          <w:rFonts w:hint="eastAsia" w:ascii="宋体" w:hAnsi="宋体" w:eastAsia="宋体" w:cs="宋体"/>
          <w:kern w:val="0"/>
          <w:sz w:val="32"/>
          <w:szCs w:val="32"/>
        </w:rPr>
        <w:t>工作情况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绩效</w:t>
      </w:r>
      <w:r>
        <w:rPr>
          <w:rFonts w:hint="eastAsia" w:cs="宋体"/>
          <w:kern w:val="0"/>
          <w:sz w:val="32"/>
          <w:szCs w:val="32"/>
          <w:lang w:val="en-US" w:eastAsia="zh-CN"/>
        </w:rPr>
        <w:t>评价</w:t>
      </w:r>
      <w:r>
        <w:rPr>
          <w:rFonts w:hint="eastAsia" w:ascii="宋体" w:hAnsi="宋体" w:eastAsia="宋体" w:cs="宋体"/>
          <w:kern w:val="0"/>
          <w:sz w:val="32"/>
          <w:szCs w:val="32"/>
        </w:rPr>
        <w:t>目的。</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2022年党建经费主要绩效目标为：党建经费属于常年项目，2022年市财政预算安排市工信局党建经费50万元，用于开展党的建设各项工作，保障开展各类党的学习教育培训活动，落实全面从严治党要求，加强基层党组织和党员队伍建设，推进党内基层民主建设等，进一步落实党建工作责任制，不断提高市工信局党建工作科学化水平。</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（二）项目资金投入情况。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本年度资金年初预算数50.00万元，其中：财政拨款50.00万元，其他资金0.00万元。</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本年度资金全年预算数50.00万元，其中：财政拨款50.00万元，其他资金0.00万元。</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本年度资金全年执行数49.99万元，其中：财政拨款49.99万元，其他资金0.00万元。</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项目资金产出情况。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项目管理方面：目标管理上，绩效目标值参考标准合理、客观，绩效内容和目标值的设置科学、可行，并及时完成。组织管理上，有管理制度保障和支撑条件保障。资产管理上，资产管理制度健全，资产利用率良好。财务管理上，财务制度健全，管理有效。项目已制定健全的业务管理制度，项目实施严格遵守相关法律法规和业务管理制度。</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项目资金管理情况。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 xml:space="preserve">深入开展"两学一做"学习教育。注重示范引领，由班子成员带头参加学习教育、过双重组织生活会、上党课，推动学习教育持续深化。注重以学促行，以先进为典型，组织党员干部职工到红色教育基地进行现场教学，开展向先进模范学习活动，用身边的典型激励人、感召人。注重创新拓展，在落实规定动作的同时，开展"上一堂主题党课、撰写一篇心得体会、每季组织一次专题讨论、举办一场知识竞赛"的"四个一"活动，增强学习教育时效性。    </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项目绩效情况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(一) 产出指标完成情况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1、数量指标</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1)培训党员人数，目标值大于等于43人次，实际完成43人次，分值10，得分10。</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2)阵地建设数，目标值大于等于1个，实际完成1个，分值2，得分2。</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3)党日活动开展数，目标值大于等于12次，实际完成12次，分值3，得分3。</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2、质量指标</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4)党员培训参与率，目标值大于等于90%，实际完成90%，分值4，得分4。</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5)阵地建设效果，目标值优，实际完成优，分值2，得分2。</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6)党日活动开展效果，目标值优，实际完成优，分值4，得分4。</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3、时效指标</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7)党员培训完成时间，目标值2022年1月-2022年12月，实际完成2022年1月-2022年12月，分值4，得分4。</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8)阵地建设完成时间，目标值2022年1月-2022年12月，实际完成2022年1月-2022年12月，分值2，得分2。</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9)党日活动完成时间，目标值2022年1月-2022年12月，实际完成2022年1月-2022年12月，分值4，得分4。</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4、成本指标</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10)党员培训经费，目标值小于等于35万元，实际完成35万元，分值5，得分5。</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11)党建阵地建设费用，目标值小于等于10万元，实际完成10万元，分值5，得分5。</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12)党日活动经费，目标值小于等于5万元，实际完成4.99万元，分值5，得分4.99。</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(二) 效益指标完成情况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5、经济效益</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6、社会效益</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13)提升党干部党性修养，目标值有效提高，实际完成有效提高，分值5，得分5。</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14)提升党建意识形态工作水平，目标值有效提高，实际完成有效提高，分值5，得分5。</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15)提升服务群众满意度，目标值有效提高，实际完成有效提高，分值10，得分10。</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7、生态效益</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8、可持续影响</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16)增强党员干部党性修养，目标值长期坚持，实际完成长期坚持，分值5，得分5。</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17)党员干部队伍建设顺利推进，目标值长期坚持，实际完成长期坚持，分值5，得分5。</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(三) 满意度指标完成情况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9、服务对象满意度</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18)受训党员满意度，目标值大于等于90%，实际完成90%，分值5，得分5。</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19)基层党建工作满意度，目标值大于等于90%，实际完成90%，分值5，得分5。</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（四）</w:t>
      </w:r>
      <w:r>
        <w:rPr>
          <w:rFonts w:hint="eastAsia" w:cs="宋体"/>
          <w:kern w:val="0"/>
          <w:sz w:val="32"/>
          <w:szCs w:val="32"/>
          <w:lang w:val="en-US" w:eastAsia="zh-CN"/>
        </w:rPr>
        <w:t>绩效评价</w:t>
      </w:r>
      <w:r>
        <w:rPr>
          <w:rFonts w:hint="eastAsia" w:ascii="宋体" w:hAnsi="宋体" w:eastAsia="宋体" w:cs="宋体"/>
          <w:kern w:val="0"/>
          <w:sz w:val="32"/>
          <w:szCs w:val="32"/>
        </w:rPr>
        <w:t>得分情况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本项目绩效</w:t>
      </w:r>
      <w:r>
        <w:rPr>
          <w:rFonts w:hint="eastAsia" w:cs="宋体"/>
          <w:kern w:val="0"/>
          <w:sz w:val="32"/>
          <w:szCs w:val="32"/>
          <w:lang w:val="en-US" w:eastAsia="zh-CN"/>
        </w:rPr>
        <w:t>评价</w:t>
      </w:r>
      <w:r>
        <w:rPr>
          <w:rFonts w:hint="eastAsia" w:ascii="宋体" w:hAnsi="宋体" w:eastAsia="宋体" w:cs="宋体"/>
          <w:kern w:val="0"/>
          <w:sz w:val="32"/>
          <w:szCs w:val="32"/>
        </w:rPr>
        <w:t>得分99.99分，等级为A。</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存在问题</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项目立项、实施存在问题。</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1、为进一步做好党建工作，还必须更多的深入基层,全面掌握基层党建工作情况；</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2、基层党建工作发展不平衡,部分基层党组织就党建抓党建,党建工作的思路、方法有待进一步开拓创新。</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资金管理使用存在问题</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部分党支部主体作用发挥不够，存在组织生活不规范等现象。</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五、其他需要说明的问题</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（一）后续工作计划。</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2023年，党的建设经费为25万元计划用于党员教育培训、党建阵地建设、主题党日活动、购买党建书籍、举办党建知识竞赛等项目；意识形态经费10万元计划用于意识形态宣传、意识形态培训等项目；改革调研经费15万元计划用于党建创新项目。开展"上一堂主题党课、撰写一篇心得体会、每季组织一次专题讨论、举办一场知识竞赛"的"四个一"活动，增强学习教育时效性。</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（二）措施及办法。</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1、狠抓工作落实，定期或不定期开展党建跟踪督查，对党建工作进行严格的跟踪问效管理,确保党建工作取得新进展、新成效；</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2、创新工作方法,不断增强基层调研工作的针对性和实效性,更加深入基层了解情况,解决基层实际困难，切实增强服务基层的工作水平。</w:t>
      </w:r>
    </w:p>
    <w:p>
      <w:pPr>
        <w:spacing w:before="0" w:beforeAutospacing="1" w:after="0" w:afterAutospacing="1"/>
        <w:ind w:left="0" w:firstLine="640"/>
        <w:jc w:val="both"/>
        <w:rPr>
          <w:rFonts w:hint="eastAsia" w:ascii="宋体" w:hAnsi="宋体" w:eastAsia="宋体" w:cs="宋体"/>
          <w:kern w:val="0"/>
          <w:sz w:val="32"/>
          <w:szCs w:val="32"/>
        </w:rPr>
      </w:pPr>
      <w:r>
        <w:rPr>
          <w:rFonts w:hint="eastAsia" w:ascii="宋体" w:hAnsi="宋体" w:eastAsia="宋体" w:cs="宋体"/>
          <w:kern w:val="0"/>
          <w:sz w:val="32"/>
          <w:szCs w:val="32"/>
        </w:rPr>
        <w:t xml:space="preserve"> 3.突出党支部主体作用，规范组织生活,严格执行“三会一课”制度等。在群众工作中,采取“走出去、请进来”的办法 积极组织开办培训班,开展现场教学，进一步发挥党支部在党建工作中的主体作用，丰富群众工作方式方法，提高深入群众解决实际问题的自觉性。</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spacing w:line="620" w:lineRule="exact"/>
        <w:ind w:left="0" w:firstLine="64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pStyle w:val="3"/>
        <w:keepNext/>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第三部分 </w:t>
      </w:r>
      <w:r>
        <w:rPr>
          <w:rFonts w:hint="default" w:ascii="方正小标宋简体" w:hAnsi="方正小标宋简体" w:eastAsia="方正小标宋简体" w:cs="方正小标宋简体"/>
          <w:b/>
          <w:bCs/>
          <w:kern w:val="0"/>
          <w:sz w:val="36"/>
          <w:szCs w:val="36"/>
        </w:rPr>
        <w:t xml:space="preserve"> </w:t>
      </w:r>
      <w:r>
        <w:rPr>
          <w:rFonts w:hint="eastAsia" w:ascii="宋体" w:hAnsi="宋体" w:eastAsia="宋体" w:cs="宋体"/>
          <w:b/>
          <w:bCs/>
          <w:kern w:val="0"/>
          <w:sz w:val="36"/>
          <w:szCs w:val="36"/>
        </w:rPr>
        <w:t>名词解释</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一、财政拨款收入：</w:t>
      </w:r>
      <w:r>
        <w:rPr>
          <w:rFonts w:hint="eastAsia" w:ascii="宋体" w:hAnsi="宋体" w:eastAsia="宋体" w:cs="宋体"/>
          <w:kern w:val="0"/>
          <w:sz w:val="32"/>
          <w:szCs w:val="32"/>
        </w:rPr>
        <w:t>从同级财政部门取得的各类财政拨款，包括一般公共预算财政拨款、政府性基金预算财政拨款、国有资本经营预算财政拨款。</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二、上级补助收入：</w:t>
      </w:r>
      <w:r>
        <w:rPr>
          <w:rFonts w:hint="eastAsia" w:ascii="宋体" w:hAnsi="宋体" w:eastAsia="宋体" w:cs="宋体"/>
          <w:kern w:val="0"/>
          <w:sz w:val="32"/>
          <w:szCs w:val="32"/>
        </w:rPr>
        <w:t>指事业单位从主管部门和上级单位取得的非财政补助收入。</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三、其他收入：</w:t>
      </w:r>
      <w:r>
        <w:rPr>
          <w:rFonts w:hint="eastAsia" w:ascii="宋体" w:hAnsi="宋体" w:eastAsia="宋体" w:cs="宋体"/>
          <w:kern w:val="0"/>
          <w:sz w:val="32"/>
          <w:szCs w:val="32"/>
        </w:rPr>
        <w:t>取得的除上述</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财政拨款收入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上级补助收入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事业收入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经营收入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附属单位上缴收入</w:t>
      </w:r>
      <w:r>
        <w:rPr>
          <w:rFonts w:hint="default" w:ascii="Times New Roman" w:hAnsi="Times New Roman" w:eastAsia="宋体" w:cs="Times New Roman"/>
          <w:kern w:val="0"/>
          <w:sz w:val="32"/>
          <w:szCs w:val="32"/>
        </w:rPr>
        <w:t>”</w:t>
      </w:r>
      <w:r>
        <w:rPr>
          <w:rFonts w:hint="eastAsia" w:ascii="宋体" w:hAnsi="宋体" w:eastAsia="宋体" w:cs="宋体"/>
          <w:kern w:val="0"/>
          <w:sz w:val="32"/>
          <w:szCs w:val="32"/>
        </w:rPr>
        <w:t>等以外的各项收入。</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四、年初结转和结余：</w:t>
      </w:r>
      <w:r>
        <w:rPr>
          <w:rFonts w:hint="eastAsia" w:ascii="宋体" w:hAnsi="宋体" w:eastAsia="宋体" w:cs="宋体"/>
          <w:kern w:val="0"/>
          <w:sz w:val="32"/>
          <w:szCs w:val="32"/>
        </w:rPr>
        <w:t>指单位上年结转本年使用的基本支出结转、项目支出结转和结余、经营结余。</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五、年末结转和结余资金：</w:t>
      </w:r>
      <w:r>
        <w:rPr>
          <w:rFonts w:hint="eastAsia" w:ascii="宋体" w:hAnsi="宋体" w:eastAsia="宋体" w:cs="宋体"/>
          <w:kern w:val="0"/>
          <w:sz w:val="32"/>
          <w:szCs w:val="32"/>
        </w:rPr>
        <w:t>指单位结转下年的基本支出结转、项目支出结转和结余、经营结余。</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六、基本支出：</w:t>
      </w:r>
      <w:r>
        <w:rPr>
          <w:rFonts w:hint="eastAsia" w:ascii="宋体" w:hAnsi="宋体" w:eastAsia="宋体" w:cs="宋体"/>
          <w:kern w:val="0"/>
          <w:sz w:val="32"/>
          <w:szCs w:val="32"/>
        </w:rPr>
        <w:t>指为保障机构正常运转、完成日常工作任务所发生的支出，包括人员经费和公用经费。</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七、项目支出：</w:t>
      </w:r>
      <w:r>
        <w:rPr>
          <w:rFonts w:hint="eastAsia" w:ascii="宋体" w:hAnsi="宋体" w:eastAsia="宋体" w:cs="宋体"/>
          <w:kern w:val="0"/>
          <w:sz w:val="32"/>
          <w:szCs w:val="32"/>
        </w:rPr>
        <w:t>指在为完成特定的工作任务和事业发展目标所发生的支出。</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八、</w:t>
      </w:r>
      <w:r>
        <w:rPr>
          <w:rFonts w:hint="default" w:ascii="Times New Roman" w:hAnsi="Times New Roman" w:eastAsia="宋体" w:cs="Times New Roman"/>
          <w:b/>
          <w:bCs/>
          <w:kern w:val="0"/>
          <w:sz w:val="32"/>
          <w:szCs w:val="32"/>
        </w:rPr>
        <w:t>“</w:t>
      </w:r>
      <w:r>
        <w:rPr>
          <w:rFonts w:hint="eastAsia" w:ascii="宋体" w:hAnsi="宋体" w:eastAsia="宋体" w:cs="宋体"/>
          <w:b/>
          <w:bCs/>
          <w:kern w:val="0"/>
          <w:sz w:val="32"/>
          <w:szCs w:val="32"/>
        </w:rPr>
        <w:t>三公</w:t>
      </w:r>
      <w:r>
        <w:rPr>
          <w:rFonts w:hint="default" w:ascii="Times New Roman" w:hAnsi="Times New Roman" w:eastAsia="宋体" w:cs="Times New Roman"/>
          <w:b/>
          <w:bCs/>
          <w:kern w:val="0"/>
          <w:sz w:val="32"/>
          <w:szCs w:val="32"/>
        </w:rPr>
        <w:t>”</w:t>
      </w:r>
      <w:r>
        <w:rPr>
          <w:rFonts w:hint="eastAsia" w:ascii="宋体" w:hAnsi="宋体" w:eastAsia="宋体" w:cs="宋体"/>
          <w:b/>
          <w:bCs/>
          <w:kern w:val="0"/>
          <w:sz w:val="32"/>
          <w:szCs w:val="32"/>
        </w:rPr>
        <w:t>经费：</w:t>
      </w:r>
      <w:r>
        <w:rPr>
          <w:rFonts w:hint="eastAsia" w:ascii="宋体" w:hAnsi="宋体" w:eastAsia="宋体" w:cs="宋体"/>
          <w:kern w:val="0"/>
          <w:sz w:val="32"/>
          <w:szCs w:val="32"/>
        </w:rPr>
        <w:t>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spacing w:before="0" w:beforeAutospacing="1" w:after="0" w:afterAutospacing="1" w:line="560" w:lineRule="atLeast"/>
        <w:ind w:left="0" w:firstLine="643"/>
        <w:jc w:val="both"/>
        <w:rPr>
          <w:rFonts w:hint="eastAsia" w:ascii="宋体" w:hAnsi="宋体" w:eastAsia="宋体" w:cs="宋体"/>
          <w:kern w:val="0"/>
          <w:sz w:val="24"/>
          <w:szCs w:val="24"/>
        </w:rPr>
      </w:pPr>
      <w:r>
        <w:rPr>
          <w:rFonts w:hint="eastAsia" w:ascii="宋体" w:hAnsi="宋体" w:eastAsia="宋体" w:cs="宋体"/>
          <w:b/>
          <w:bCs/>
          <w:kern w:val="0"/>
          <w:sz w:val="32"/>
          <w:szCs w:val="32"/>
        </w:rPr>
        <w:t>九、机构运行经费：</w:t>
      </w:r>
      <w:r>
        <w:rPr>
          <w:rFonts w:hint="eastAsia" w:ascii="宋体" w:hAnsi="宋体" w:eastAsia="宋体" w:cs="宋体"/>
          <w:kern w:val="0"/>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p>
    <w:p>
      <w:pPr>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pStyle w:val="3"/>
        <w:keepNext/>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第四部分</w:t>
      </w:r>
      <w:r>
        <w:rPr>
          <w:rFonts w:hint="default" w:ascii="方正小标宋简体" w:hAnsi="方正小标宋简体" w:eastAsia="方正小标宋简体" w:cs="方正小标宋简体"/>
          <w:b/>
          <w:bCs/>
          <w:kern w:val="0"/>
          <w:sz w:val="36"/>
          <w:szCs w:val="36"/>
        </w:rPr>
        <w:t xml:space="preserve"> </w:t>
      </w:r>
      <w:r>
        <w:rPr>
          <w:rFonts w:hint="eastAsia" w:ascii="宋体" w:hAnsi="宋体" w:eastAsia="宋体" w:cs="宋体"/>
          <w:b/>
          <w:bCs/>
          <w:kern w:val="0"/>
          <w:sz w:val="36"/>
          <w:szCs w:val="36"/>
        </w:rPr>
        <w:t>决算公开联系方式及信息反馈渠道</w:t>
      </w:r>
    </w:p>
    <w:p>
      <w:pPr>
        <w:spacing w:before="0" w:beforeAutospacing="1" w:after="0" w:afterAutospacing="1" w:line="600" w:lineRule="atLeast"/>
        <w:jc w:val="both"/>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spacing w:before="0" w:beforeAutospacing="1" w:after="0" w:afterAutospacing="1" w:line="600" w:lineRule="atLeast"/>
        <w:ind w:left="0" w:firstLine="640"/>
        <w:jc w:val="both"/>
        <w:rPr>
          <w:rFonts w:hint="eastAsia" w:ascii="宋体" w:hAnsi="宋体" w:eastAsia="宋体" w:cs="宋体"/>
          <w:kern w:val="0"/>
          <w:sz w:val="24"/>
          <w:szCs w:val="24"/>
        </w:rPr>
      </w:pPr>
      <w:r>
        <w:rPr>
          <w:rFonts w:hint="eastAsia" w:ascii="宋体" w:hAnsi="宋体" w:eastAsia="宋体" w:cs="宋体"/>
          <w:kern w:val="0"/>
          <w:sz w:val="32"/>
          <w:szCs w:val="32"/>
        </w:rPr>
        <w:t>本单位决算公开信息反馈和联系方式：</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32"/>
          <w:szCs w:val="32"/>
        </w:rPr>
        <w:t>联系人：李芊芊        联系电话：0477-8588216</w:t>
      </w:r>
    </w:p>
    <w:p>
      <w:pPr>
        <w:spacing w:before="0" w:beforeAutospacing="0" w:after="120" w:afterAutospacing="0"/>
        <w:ind w:left="420" w:right="0" w:firstLine="420"/>
        <w:jc w:val="both"/>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pPr>
        <w:pStyle w:val="3"/>
        <w:keepNext/>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第五部分</w:t>
      </w:r>
      <w:r>
        <w:rPr>
          <w:rFonts w:hint="default" w:ascii="方正小标宋简体" w:hAnsi="方正小标宋简体" w:eastAsia="方正小标宋简体" w:cs="方正小标宋简体"/>
          <w:b/>
          <w:bCs/>
          <w:kern w:val="0"/>
          <w:sz w:val="36"/>
          <w:szCs w:val="36"/>
        </w:rPr>
        <w:t xml:space="preserve"> 2022</w:t>
      </w:r>
      <w:r>
        <w:rPr>
          <w:rFonts w:hint="eastAsia" w:ascii="宋体" w:hAnsi="宋体" w:eastAsia="宋体" w:cs="宋体"/>
          <w:b/>
          <w:bCs/>
          <w:kern w:val="0"/>
          <w:sz w:val="36"/>
          <w:szCs w:val="36"/>
        </w:rPr>
        <w:t>年度单位决算表</w:t>
      </w:r>
    </w:p>
    <w:p>
      <w:pPr>
        <w:spacing w:before="0" w:beforeAutospacing="1" w:after="0" w:afterAutospacing="1" w:line="600" w:lineRule="atLeast"/>
        <w:jc w:val="both"/>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r>
        <w:rPr>
          <w:rFonts w:hint="eastAsia" w:ascii="宋体" w:hAnsi="宋体" w:eastAsia="宋体" w:cs="宋体"/>
          <w:kern w:val="0"/>
          <w:sz w:val="32"/>
          <w:szCs w:val="32"/>
        </w:rPr>
        <w:t>详见附件。</w:t>
      </w:r>
      <w:r>
        <w:rPr>
          <w:rFonts w:hint="eastAsia" w:ascii="宋体" w:hAnsi="宋体" w:eastAsia="宋体" w:cs="宋体"/>
          <w:kern w:val="0"/>
          <w:sz w:val="24"/>
          <w:szCs w:val="24"/>
        </w:rPr>
        <w:t xml:space="preserve"> </w:t>
      </w:r>
    </w:p>
    <w:p>
      <w:pPr>
        <w:pStyle w:val="13"/>
        <w:ind w:left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3"/>
        <w:ind w:left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3"/>
        <w:ind w:left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3"/>
        <w:ind w:left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3"/>
        <w:ind w:left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3"/>
        <w:ind w:left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3"/>
        <w:ind w:left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3"/>
        <w:ind w:left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3"/>
        <w:ind w:left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pStyle w:val="13"/>
        <w:ind w:left="0" w:leftChars="0" w:firstLine="0" w:firstLineChars="0"/>
        <w:rPr>
          <w:rFonts w:hint="eastAsia" w:ascii="Calibri" w:hAnsi="Times New Roman" w:eastAsia="宋体" w:cs="Times New Roman"/>
          <w:kern w:val="2"/>
          <w:sz w:val="21"/>
          <w:szCs w:val="21"/>
        </w:rPr>
      </w:pPr>
      <w:r>
        <w:rPr>
          <w:rFonts w:hint="eastAsia" w:ascii="宋体" w:hAnsi="宋体" w:eastAsia="宋体" w:cs="宋体"/>
          <w:kern w:val="0"/>
          <w:sz w:val="24"/>
          <w:szCs w:val="24"/>
        </w:rPr>
        <w:t xml:space="preserve"> </w:t>
      </w:r>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7C058"/>
    <w:multiLevelType w:val="multilevel"/>
    <w:tmpl w:val="C677C058"/>
    <w:lvl w:ilvl="0" w:tentative="0">
      <w:start w:val="1"/>
      <w:numFmt w:val="japaneseCounting"/>
      <w:lvlText w:val="%1、"/>
      <w:lvlJc w:val="left"/>
      <w:pPr>
        <w:tabs>
          <w:tab w:val="left" w:pos="0"/>
        </w:tabs>
        <w:ind w:left="1310" w:hanging="720"/>
      </w:pPr>
      <w:rPr>
        <w:rFonts w:hint="default" w:ascii="Times New Roman" w:hAnsi="Times New Roman" w:cs="Times New Roman"/>
      </w:rPr>
    </w:lvl>
    <w:lvl w:ilvl="1" w:tentative="0">
      <w:start w:val="1"/>
      <w:numFmt w:val="lowerLetter"/>
      <w:lvlText w:val="%2)"/>
      <w:lvlJc w:val="left"/>
      <w:pPr>
        <w:tabs>
          <w:tab w:val="left" w:pos="0"/>
        </w:tabs>
        <w:ind w:left="1430" w:hanging="420"/>
      </w:pPr>
      <w:rPr>
        <w:rFonts w:hint="default" w:ascii="Times New Roman" w:hAnsi="Times New Roman" w:cs="Times New Roman"/>
      </w:rPr>
    </w:lvl>
    <w:lvl w:ilvl="2" w:tentative="0">
      <w:start w:val="1"/>
      <w:numFmt w:val="lowerRoman"/>
      <w:lvlText w:val="%3."/>
      <w:lvlJc w:val="right"/>
      <w:pPr>
        <w:tabs>
          <w:tab w:val="left" w:pos="0"/>
        </w:tabs>
        <w:ind w:left="1850" w:hanging="420"/>
      </w:pPr>
      <w:rPr>
        <w:rFonts w:hint="default" w:ascii="Times New Roman" w:hAnsi="Times New Roman" w:cs="Times New Roman"/>
      </w:rPr>
    </w:lvl>
    <w:lvl w:ilvl="3" w:tentative="0">
      <w:start w:val="1"/>
      <w:numFmt w:val="decimal"/>
      <w:lvlText w:val="%4."/>
      <w:lvlJc w:val="left"/>
      <w:pPr>
        <w:tabs>
          <w:tab w:val="left" w:pos="0"/>
        </w:tabs>
        <w:ind w:left="2270" w:hanging="420"/>
      </w:pPr>
      <w:rPr>
        <w:rFonts w:hint="default" w:ascii="Times New Roman" w:hAnsi="Times New Roman" w:cs="Times New Roman"/>
      </w:rPr>
    </w:lvl>
    <w:lvl w:ilvl="4" w:tentative="0">
      <w:start w:val="1"/>
      <w:numFmt w:val="lowerLetter"/>
      <w:lvlText w:val="%5)"/>
      <w:lvlJc w:val="left"/>
      <w:pPr>
        <w:tabs>
          <w:tab w:val="left" w:pos="0"/>
        </w:tabs>
        <w:ind w:left="2690" w:hanging="420"/>
      </w:pPr>
      <w:rPr>
        <w:rFonts w:hint="default" w:ascii="Times New Roman" w:hAnsi="Times New Roman" w:cs="Times New Roman"/>
      </w:rPr>
    </w:lvl>
    <w:lvl w:ilvl="5" w:tentative="0">
      <w:start w:val="1"/>
      <w:numFmt w:val="lowerRoman"/>
      <w:lvlText w:val="%6."/>
      <w:lvlJc w:val="right"/>
      <w:pPr>
        <w:tabs>
          <w:tab w:val="left" w:pos="0"/>
        </w:tabs>
        <w:ind w:left="3110" w:hanging="420"/>
      </w:pPr>
      <w:rPr>
        <w:rFonts w:hint="default" w:ascii="Times New Roman" w:hAnsi="Times New Roman" w:cs="Times New Roman"/>
      </w:rPr>
    </w:lvl>
    <w:lvl w:ilvl="6" w:tentative="0">
      <w:start w:val="1"/>
      <w:numFmt w:val="decimal"/>
      <w:lvlText w:val="%7."/>
      <w:lvlJc w:val="left"/>
      <w:pPr>
        <w:tabs>
          <w:tab w:val="left" w:pos="0"/>
        </w:tabs>
        <w:ind w:left="3530" w:hanging="420"/>
      </w:pPr>
      <w:rPr>
        <w:rFonts w:hint="default" w:ascii="Times New Roman" w:hAnsi="Times New Roman" w:cs="Times New Roman"/>
      </w:rPr>
    </w:lvl>
    <w:lvl w:ilvl="7" w:tentative="0">
      <w:start w:val="1"/>
      <w:numFmt w:val="lowerLetter"/>
      <w:lvlText w:val="%8)"/>
      <w:lvlJc w:val="left"/>
      <w:pPr>
        <w:tabs>
          <w:tab w:val="left" w:pos="0"/>
        </w:tabs>
        <w:ind w:left="3950" w:hanging="420"/>
      </w:pPr>
      <w:rPr>
        <w:rFonts w:hint="default" w:ascii="Times New Roman" w:hAnsi="Times New Roman" w:cs="Times New Roman"/>
      </w:rPr>
    </w:lvl>
    <w:lvl w:ilvl="8" w:tentative="0">
      <w:start w:val="1"/>
      <w:numFmt w:val="lowerRoman"/>
      <w:lvlText w:val="%9."/>
      <w:lvlJc w:val="right"/>
      <w:pPr>
        <w:tabs>
          <w:tab w:val="left" w:pos="0"/>
        </w:tabs>
        <w:ind w:left="437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compat>
    <w:doNotExpandShiftReturn/>
    <w:doNotBreakWrappedTables/>
    <w:doNotWrapTextWithPunct/>
    <w:doNotUseEastAsianBreakRules/>
    <w:useFELayout/>
    <w:doNotUseIndentAsNumberingTabStop/>
    <w:useAltKinsokuLineBreakRules/>
    <w:compatSetting w:name="compatibilityMode" w:uri="http://schemas.microsoft.com/office/word" w:val="11"/>
  </w:compat>
  <w:docVars>
    <w:docVar w:name="commondata" w:val="eyJoZGlkIjoiZjQwZDA2NDYxYTEzYzI0MDhmNDE1M2VkMzNkN2M0YjEifQ=="/>
    <w:docVar w:name="KSO_WPS_MARK_KEY" w:val="fab6ff14-0503-4c8c-9c7a-23dec7651d3f"/>
  </w:docVars>
  <w:rsids>
    <w:rsidRoot w:val="00000000"/>
    <w:rsid w:val="13465239"/>
    <w:rsid w:val="24C13422"/>
    <w:rsid w:val="282835C4"/>
    <w:rsid w:val="3F9A020D"/>
    <w:rsid w:val="54333CC3"/>
    <w:rsid w:val="6A0A7F11"/>
    <w:rsid w:val="705E548F"/>
    <w:rsid w:val="720957AB"/>
    <w:rsid w:val="731A21C6"/>
    <w:rsid w:val="792C6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semiHidden/>
    <w:unhideWhenUsed/>
    <w:qFormat/>
    <w:uiPriority w:val="99"/>
  </w:style>
  <w:style w:type="table" w:default="1" w:styleId="1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Body Text Indent"/>
    <w:basedOn w:val="1"/>
    <w:qFormat/>
    <w:uiPriority w:val="0"/>
    <w:pPr>
      <w:keepNext w:val="0"/>
      <w:keepLines w:val="0"/>
      <w:widowControl/>
      <w:suppressLineNumbers w:val="0"/>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9">
    <w:name w:val="footer"/>
    <w:basedOn w:val="1"/>
    <w:uiPriority w:val="0"/>
    <w:pPr>
      <w:keepNext w:val="0"/>
      <w:keepLines w:val="0"/>
      <w:widowControl/>
      <w:suppressLineNumbers w:val="0"/>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10">
    <w:name w:val="header"/>
    <w:basedOn w:val="1"/>
    <w:qFormat/>
    <w:uiPriority w:val="0"/>
    <w:pPr>
      <w:keepNext w:val="0"/>
      <w:keepLines w:val="0"/>
      <w:widowControl/>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eastAsia" w:ascii="宋体" w:hAnsi="宋体" w:eastAsia="宋体" w:cs="宋体"/>
      <w:kern w:val="0"/>
      <w:sz w:val="18"/>
      <w:szCs w:val="18"/>
      <w:lang w:val="en-US" w:eastAsia="zh-CN" w:bidi="ar"/>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13">
    <w:name w:val="Body Text First Indent 2"/>
    <w:basedOn w:val="8"/>
    <w:qFormat/>
    <w:uiPriority w:val="0"/>
    <w:pPr>
      <w:keepNext w:val="0"/>
      <w:keepLines w:val="0"/>
      <w:widowControl w:val="0"/>
      <w:suppressLineNumbers w:val="0"/>
      <w:spacing w:before="0" w:beforeAutospacing="0" w:after="120" w:afterAutospacing="0" w:line="360" w:lineRule="auto"/>
      <w:ind w:left="420" w:leftChars="200" w:right="0" w:firstLine="420" w:firstLineChars="200"/>
      <w:jc w:val="both"/>
    </w:pPr>
    <w:rPr>
      <w:rFonts w:hint="default" w:ascii="Calibri" w:hAnsi="Times New Roman" w:eastAsia="宋体" w:cs="Times New Roman"/>
      <w:kern w:val="2"/>
      <w:sz w:val="21"/>
      <w:szCs w:val="21"/>
      <w:lang w:val="en-US" w:eastAsia="zh-CN" w:bidi="ar"/>
    </w:rPr>
  </w:style>
  <w:style w:type="paragraph" w:customStyle="1" w:styleId="16">
    <w:name w:val="Body Text First Indent1"/>
    <w:basedOn w:val="17"/>
    <w:qFormat/>
    <w:uiPriority w:val="0"/>
    <w:pPr>
      <w:widowControl w:val="0"/>
      <w:ind w:firstLine="100" w:firstLineChars="100"/>
      <w:jc w:val="both"/>
    </w:pPr>
    <w:rPr>
      <w:rFonts w:ascii="Times New Roman" w:hAnsi="Times New Roman" w:eastAsia="宋体" w:cs="Times New Roman"/>
      <w:kern w:val="2"/>
      <w:sz w:val="44"/>
      <w:lang w:val="en-US" w:eastAsia="zh-CN"/>
    </w:rPr>
  </w:style>
  <w:style w:type="paragraph" w:customStyle="1" w:styleId="17">
    <w:name w:val="Body Text1"/>
    <w:qFormat/>
    <w:uiPriority w:val="0"/>
    <w:pPr>
      <w:widowControl w:val="0"/>
      <w:jc w:val="both"/>
    </w:pPr>
    <w:rPr>
      <w:rFonts w:ascii="Times New Roman" w:hAnsi="Times New Roman" w:eastAsia="宋体" w:cs="Times New Roman"/>
      <w:b/>
      <w:kern w:val="2"/>
      <w:sz w:val="44"/>
      <w:lang w:val="en-US" w:eastAsia="zh-CN"/>
    </w:rPr>
  </w:style>
  <w:style w:type="character" w:customStyle="1" w:styleId="18">
    <w:name w:val="36"/>
    <w:basedOn w:val="15"/>
    <w:qFormat/>
    <w:uiPriority w:val="0"/>
    <w:rPr>
      <w:rFonts w:hint="default" w:ascii="Times New Roman" w:hAnsi="Times New Roman" w:cs="Times New Roman"/>
    </w:rPr>
  </w:style>
  <w:style w:type="paragraph" w:customStyle="1" w:styleId="19">
    <w:name w:val="msolistparagraph"/>
    <w:basedOn w:val="1"/>
    <w:qFormat/>
    <w:uiPriority w:val="0"/>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0">
    <w:name w:val="31"/>
    <w:basedOn w:val="15"/>
    <w:uiPriority w:val="0"/>
    <w:rPr>
      <w:rFonts w:hint="default" w:ascii="Times New Roman" w:hAnsi="Times New Roman" w:cs="Times New Roman"/>
    </w:rPr>
  </w:style>
  <w:style w:type="character" w:customStyle="1" w:styleId="21">
    <w:name w:val="10"/>
    <w:basedOn w:val="15"/>
    <w:uiPriority w:val="0"/>
    <w:rPr>
      <w:rFonts w:hint="default" w:ascii="Times New Roman" w:hAnsi="Times New Roman" w:cs="Times New Roman"/>
    </w:rPr>
  </w:style>
  <w:style w:type="character" w:customStyle="1" w:styleId="22">
    <w:name w:val="43"/>
    <w:basedOn w:val="15"/>
    <w:qFormat/>
    <w:uiPriority w:val="0"/>
    <w:rPr>
      <w:rFonts w:hint="default" w:ascii="Times New Roman" w:hAnsi="Times New Roman" w:cs="Times New Roman"/>
    </w:rPr>
  </w:style>
  <w:style w:type="character" w:customStyle="1" w:styleId="23">
    <w:name w:val="32"/>
    <w:basedOn w:val="15"/>
    <w:uiPriority w:val="0"/>
    <w:rPr>
      <w:rFonts w:hint="eastAsia" w:ascii="宋体" w:hAnsi="宋体" w:eastAsia="宋体" w:cs="宋体"/>
      <w:sz w:val="24"/>
      <w:szCs w:val="24"/>
    </w:rPr>
  </w:style>
  <w:style w:type="character" w:customStyle="1" w:styleId="24">
    <w:name w:val="42"/>
    <w:basedOn w:val="15"/>
    <w:uiPriority w:val="0"/>
    <w:rPr>
      <w:rFonts w:hint="default" w:ascii="Times New Roman" w:hAnsi="Times New Roman" w:cs="Times New Roman"/>
    </w:rPr>
  </w:style>
  <w:style w:type="character" w:customStyle="1" w:styleId="25">
    <w:name w:val="18"/>
    <w:basedOn w:val="15"/>
    <w:qFormat/>
    <w:uiPriority w:val="0"/>
    <w:rPr>
      <w:rFonts w:hint="default" w:ascii="Times New Roman" w:hAnsi="Times New Roman" w:cs="Times New Roman"/>
    </w:rPr>
  </w:style>
  <w:style w:type="paragraph" w:customStyle="1" w:styleId="26">
    <w:name w:val="普通(网站) Char Char Char"/>
    <w:basedOn w:val="1"/>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27">
    <w:name w:val="15"/>
    <w:basedOn w:val="15"/>
    <w:uiPriority w:val="0"/>
    <w:rPr>
      <w:rFonts w:hint="default" w:ascii="Cambria" w:hAnsi="Cambria" w:eastAsia="宋体" w:cs="Times New Roman"/>
      <w:b/>
      <w:bCs/>
      <w:sz w:val="32"/>
      <w:szCs w:val="32"/>
    </w:rPr>
  </w:style>
  <w:style w:type="character" w:customStyle="1" w:styleId="28">
    <w:name w:val="22"/>
    <w:basedOn w:val="15"/>
    <w:qFormat/>
    <w:uiPriority w:val="0"/>
    <w:rPr>
      <w:rFonts w:hint="eastAsia" w:ascii="宋体" w:hAnsi="宋体" w:eastAsia="宋体" w:cs="宋体"/>
      <w:sz w:val="18"/>
      <w:szCs w:val="18"/>
    </w:rPr>
  </w:style>
  <w:style w:type="character" w:customStyle="1" w:styleId="29">
    <w:name w:val="17"/>
    <w:basedOn w:val="15"/>
    <w:uiPriority w:val="0"/>
    <w:rPr>
      <w:rFonts w:hint="eastAsia" w:ascii="宋体" w:hAnsi="宋体" w:eastAsia="宋体" w:cs="宋体"/>
      <w:b/>
      <w:bCs/>
      <w:sz w:val="32"/>
      <w:szCs w:val="32"/>
    </w:rPr>
  </w:style>
  <w:style w:type="character" w:customStyle="1" w:styleId="30">
    <w:name w:val="16"/>
    <w:basedOn w:val="15"/>
    <w:qFormat/>
    <w:uiPriority w:val="0"/>
    <w:rPr>
      <w:rFonts w:hint="default" w:ascii="Times New Roman" w:hAnsi="Times New Roman" w:cs="Times New Roman"/>
    </w:rPr>
  </w:style>
  <w:style w:type="character" w:customStyle="1" w:styleId="31">
    <w:name w:val="41"/>
    <w:basedOn w:val="15"/>
    <w:qFormat/>
    <w:uiPriority w:val="0"/>
    <w:rPr>
      <w:rFonts w:hint="default" w:ascii="Times New Roman" w:hAnsi="Times New Roman" w:cs="Times New Roman"/>
    </w:rPr>
  </w:style>
  <w:style w:type="paragraph" w:customStyle="1" w:styleId="32">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33">
    <w:name w:val="19"/>
    <w:basedOn w:val="15"/>
    <w:uiPriority w:val="0"/>
    <w:rPr>
      <w:rFonts w:hint="eastAsia" w:ascii="宋体" w:hAnsi="宋体" w:eastAsia="宋体" w:cs="宋体"/>
      <w:sz w:val="18"/>
      <w:szCs w:val="18"/>
    </w:rPr>
  </w:style>
  <w:style w:type="paragraph" w:customStyle="1" w:styleId="34">
    <w:name w:val="pre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35">
    <w:name w:val="20"/>
    <w:basedOn w:val="15"/>
    <w:uiPriority w:val="0"/>
    <w:rPr>
      <w:rFonts w:hint="default" w:ascii="Times New Roman" w:hAnsi="Times New Roman" w:cs="Times New Roman"/>
    </w:rPr>
  </w:style>
  <w:style w:type="character" w:customStyle="1" w:styleId="36">
    <w:name w:val="35"/>
    <w:basedOn w:val="15"/>
    <w:uiPriority w:val="0"/>
    <w:rPr>
      <w:rFonts w:hint="eastAsia" w:ascii="宋体" w:hAnsi="宋体" w:eastAsia="宋体" w:cs="宋体"/>
      <w:sz w:val="24"/>
      <w:szCs w:val="24"/>
    </w:rPr>
  </w:style>
  <w:style w:type="character" w:customStyle="1" w:styleId="37">
    <w:name w:val="21"/>
    <w:basedOn w:val="15"/>
    <w:qFormat/>
    <w:uiPriority w:val="0"/>
    <w:rPr>
      <w:rFonts w:hint="eastAsia" w:ascii="宋体" w:hAnsi="宋体" w:eastAsia="宋体" w:cs="宋体"/>
      <w:sz w:val="18"/>
      <w:szCs w:val="18"/>
    </w:rPr>
  </w:style>
  <w:style w:type="character" w:customStyle="1" w:styleId="38">
    <w:name w:val="23"/>
    <w:basedOn w:val="15"/>
    <w:uiPriority w:val="0"/>
    <w:rPr>
      <w:rFonts w:hint="eastAsia" w:ascii="宋体" w:hAnsi="宋体" w:eastAsia="宋体" w:cs="宋体"/>
      <w:b/>
      <w:bCs/>
      <w:kern w:val="44"/>
      <w:sz w:val="44"/>
      <w:szCs w:val="44"/>
    </w:rPr>
  </w:style>
  <w:style w:type="character" w:customStyle="1" w:styleId="39">
    <w:name w:val="37"/>
    <w:basedOn w:val="15"/>
    <w:uiPriority w:val="0"/>
    <w:rPr>
      <w:rFonts w:hint="default" w:ascii="Times New Roman" w:hAnsi="Times New Roman" w:cs="Times New Roman"/>
    </w:rPr>
  </w:style>
  <w:style w:type="character" w:customStyle="1" w:styleId="40">
    <w:name w:val="29"/>
    <w:basedOn w:val="15"/>
    <w:qFormat/>
    <w:uiPriority w:val="0"/>
    <w:rPr>
      <w:rFonts w:hint="default" w:ascii="Courier New" w:hAnsi="Courier New" w:eastAsia="宋体" w:cs="Courier New"/>
    </w:rPr>
  </w:style>
  <w:style w:type="character" w:customStyle="1" w:styleId="41">
    <w:name w:val="24"/>
    <w:basedOn w:val="15"/>
    <w:uiPriority w:val="0"/>
    <w:rPr>
      <w:rFonts w:hint="default" w:ascii="Times New Roman" w:hAnsi="Times New Roman" w:cs="Times New Roman"/>
    </w:rPr>
  </w:style>
  <w:style w:type="character" w:customStyle="1" w:styleId="42">
    <w:name w:val="25"/>
    <w:basedOn w:val="15"/>
    <w:uiPriority w:val="0"/>
    <w:rPr>
      <w:rFonts w:hint="eastAsia" w:ascii="宋体" w:hAnsi="宋体" w:eastAsia="宋体" w:cs="宋体"/>
      <w:sz w:val="24"/>
      <w:szCs w:val="24"/>
    </w:rPr>
  </w:style>
  <w:style w:type="character" w:customStyle="1" w:styleId="43">
    <w:name w:val="26"/>
    <w:basedOn w:val="15"/>
    <w:qFormat/>
    <w:uiPriority w:val="0"/>
    <w:rPr>
      <w:rFonts w:hint="eastAsia" w:ascii="宋体" w:hAnsi="宋体" w:eastAsia="宋体" w:cs="宋体"/>
      <w:b/>
      <w:bCs/>
      <w:sz w:val="28"/>
      <w:szCs w:val="28"/>
    </w:rPr>
  </w:style>
  <w:style w:type="character" w:customStyle="1" w:styleId="44">
    <w:name w:val="27"/>
    <w:basedOn w:val="15"/>
    <w:uiPriority w:val="0"/>
    <w:rPr>
      <w:rFonts w:hint="default" w:ascii="Cambria" w:hAnsi="Cambria" w:eastAsia="宋体" w:cs="Times New Roman"/>
      <w:b/>
      <w:bCs/>
      <w:sz w:val="28"/>
      <w:szCs w:val="28"/>
    </w:rPr>
  </w:style>
  <w:style w:type="character" w:customStyle="1" w:styleId="45">
    <w:name w:val="28"/>
    <w:basedOn w:val="15"/>
    <w:uiPriority w:val="0"/>
    <w:rPr>
      <w:rFonts w:hint="eastAsia" w:ascii="宋体" w:hAnsi="宋体" w:eastAsia="宋体" w:cs="宋体"/>
      <w:b/>
      <w:bCs/>
      <w:kern w:val="44"/>
      <w:sz w:val="44"/>
      <w:szCs w:val="44"/>
    </w:rPr>
  </w:style>
  <w:style w:type="character" w:customStyle="1" w:styleId="46">
    <w:name w:val="30"/>
    <w:basedOn w:val="15"/>
    <w:qFormat/>
    <w:uiPriority w:val="0"/>
    <w:rPr>
      <w:rFonts w:hint="default" w:ascii="Cambria" w:hAnsi="Cambria" w:eastAsia="宋体" w:cs="Times New Roman"/>
      <w:b/>
      <w:bCs/>
      <w:sz w:val="24"/>
      <w:szCs w:val="24"/>
    </w:rPr>
  </w:style>
  <w:style w:type="character" w:customStyle="1" w:styleId="47">
    <w:name w:val="33"/>
    <w:basedOn w:val="15"/>
    <w:uiPriority w:val="0"/>
    <w:rPr>
      <w:rFonts w:hint="default" w:ascii="Times New Roman" w:hAnsi="Times New Roman" w:cs="Times New Roman"/>
    </w:rPr>
  </w:style>
  <w:style w:type="character" w:customStyle="1" w:styleId="48">
    <w:name w:val="34"/>
    <w:basedOn w:val="15"/>
    <w:uiPriority w:val="0"/>
    <w:rPr>
      <w:rFonts w:hint="default" w:ascii="Times New Roman" w:hAnsi="Times New Roman" w:cs="Times New Roman"/>
    </w:rPr>
  </w:style>
  <w:style w:type="paragraph" w:customStyle="1" w:styleId="49">
    <w:name w:val="普通(网站) Char"/>
    <w:basedOn w:val="1"/>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50">
    <w:name w:val="38"/>
    <w:basedOn w:val="15"/>
    <w:qFormat/>
    <w:uiPriority w:val="0"/>
    <w:rPr>
      <w:rFonts w:hint="default" w:ascii="Times New Roman" w:hAnsi="Times New Roman" w:cs="Times New Roman"/>
    </w:rPr>
  </w:style>
  <w:style w:type="character" w:customStyle="1" w:styleId="51">
    <w:name w:val="39"/>
    <w:basedOn w:val="15"/>
    <w:qFormat/>
    <w:uiPriority w:val="0"/>
    <w:rPr>
      <w:rFonts w:hint="eastAsia" w:ascii="宋体" w:hAnsi="宋体" w:eastAsia="宋体" w:cs="宋体"/>
      <w:sz w:val="18"/>
      <w:szCs w:val="18"/>
    </w:rPr>
  </w:style>
  <w:style w:type="paragraph" w:customStyle="1" w:styleId="52">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53">
    <w:name w:val="40"/>
    <w:basedOn w:val="15"/>
    <w:uiPriority w:val="0"/>
    <w:rPr>
      <w:rFonts w:hint="default" w:ascii="Calibri" w:hAnsi="Calibri" w:eastAsia="宋体" w:cs="Calibri"/>
      <w:kern w:val="2"/>
      <w:sz w:val="21"/>
      <w:szCs w:val="21"/>
    </w:rPr>
  </w:style>
  <w:style w:type="paragraph" w:customStyle="1" w:styleId="54">
    <w:name w:val="p Char"/>
    <w:basedOn w:val="1"/>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55">
    <w:name w:val="44"/>
    <w:basedOn w:val="15"/>
    <w:uiPriority w:val="0"/>
    <w:rPr>
      <w:rFonts w:hint="default" w:ascii="Cambria" w:hAnsi="Cambria" w:eastAsia="宋体" w:cs="Times New Roman"/>
      <w:b/>
      <w:bCs/>
      <w:sz w:val="32"/>
      <w:szCs w:val="32"/>
    </w:rPr>
  </w:style>
  <w:style w:type="paragraph" w:customStyle="1" w:styleId="56">
    <w:name w:val="普通(网站) Char Char"/>
    <w:basedOn w:val="1"/>
    <w:uiPriority w:val="0"/>
    <w:pPr>
      <w:keepNext w:val="0"/>
      <w:keepLines w:val="0"/>
      <w:widowControl/>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customStyle="1" w:styleId="57">
    <w:name w:val="HTML 预设格式 Char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58">
    <w:name w:val="HTML 预设格式 Char1"/>
    <w:basedOn w:val="1"/>
    <w:uiPriority w:val="0"/>
    <w:pPr>
      <w:keepNext w:val="0"/>
      <w:keepLines w:val="0"/>
      <w:widowControl/>
      <w:suppressLineNumbers w:val="0"/>
      <w:spacing w:before="0" w:beforeAutospacing="0" w:after="0" w:afterAutospacing="0"/>
      <w:ind w:left="0" w:right="0"/>
      <w:jc w:val="left"/>
    </w:pPr>
    <w:rPr>
      <w:rFonts w:hint="default" w:ascii="Courier New" w:hAnsi="Courier New" w:eastAsia="宋体" w:cs="Courier New"/>
      <w:kern w:val="0"/>
      <w:sz w:val="20"/>
      <w:szCs w:val="20"/>
      <w:lang w:val="en-US" w:eastAsia="zh-CN" w:bidi="ar"/>
    </w:rPr>
  </w:style>
  <w:style w:type="character" w:customStyle="1" w:styleId="59">
    <w:name w:val="font21"/>
    <w:basedOn w:val="15"/>
    <w:uiPriority w:val="0"/>
    <w:rPr>
      <w:rFonts w:hint="eastAsia" w:ascii="宋体" w:hAnsi="宋体" w:eastAsia="宋体" w:cs="宋体"/>
      <w:b/>
      <w:bCs/>
      <w:color w:val="000000"/>
      <w:sz w:val="40"/>
      <w:szCs w:val="40"/>
      <w:u w:val="none"/>
    </w:rPr>
  </w:style>
  <w:style w:type="character" w:customStyle="1" w:styleId="60">
    <w:name w:val="font31"/>
    <w:basedOn w:val="15"/>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15814</Words>
  <Characters>17813</Characters>
  <Lines>188</Lines>
  <Paragraphs>53</Paragraphs>
  <TotalTime>35</TotalTime>
  <ScaleCrop>false</ScaleCrop>
  <LinksUpToDate>false</LinksUpToDate>
  <CharactersWithSpaces>17997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2024-09-24T11:56:00Z</dcterms:created>
  <dc:creator>Administrator</dc:creator>
  <cp:lastModifiedBy>Chowhound</cp:lastModifiedBy>
  <dcterms:modified xsi:type="dcterms:W3CDTF">2024-09-25T12:41:39Z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430F2916227D42EDB36A3BA95654461F</vt:lpwstr>
  </property>
</Properties>
</file>